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5430"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298177B"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79281418" w14:textId="6BD4FE53" w:rsidR="00E867D8" w:rsidRDefault="000C0DF4" w:rsidP="00211A66">
      <w:pPr>
        <w:jc w:val="center"/>
        <w:rPr>
          <w:rFonts w:ascii="Times New Roman" w:hAnsi="Times New Roman" w:cs="Times New Roman"/>
          <w:b/>
          <w:bCs/>
          <w:color w:val="1F3864" w:themeColor="accent1" w:themeShade="80"/>
          <w:sz w:val="28"/>
          <w:szCs w:val="28"/>
          <w:lang w:val="mn-MN"/>
        </w:rPr>
      </w:pPr>
      <w:r w:rsidRPr="000C0DF4">
        <w:rPr>
          <w:rFonts w:ascii="Times New Roman" w:hAnsi="Times New Roman" w:cs="Times New Roman"/>
          <w:b/>
          <w:bCs/>
          <w:noProof/>
          <w:color w:val="1F3864" w:themeColor="accent1" w:themeShade="80"/>
          <w:sz w:val="28"/>
          <w:szCs w:val="28"/>
          <w:lang w:val="mn-MN"/>
        </w:rPr>
        <w:drawing>
          <wp:anchor distT="0" distB="0" distL="114300" distR="114300" simplePos="0" relativeHeight="251664384" behindDoc="1" locked="0" layoutInCell="1" allowOverlap="1" wp14:anchorId="652D947C" wp14:editId="517931AE">
            <wp:simplePos x="0" y="0"/>
            <wp:positionH relativeFrom="margin">
              <wp:align>center</wp:align>
            </wp:positionH>
            <wp:positionV relativeFrom="paragraph">
              <wp:posOffset>257617</wp:posOffset>
            </wp:positionV>
            <wp:extent cx="1952898" cy="1600423"/>
            <wp:effectExtent l="0" t="0" r="9525" b="0"/>
            <wp:wrapTight wrapText="bothSides">
              <wp:wrapPolygon edited="0">
                <wp:start x="0" y="0"/>
                <wp:lineTo x="0" y="21343"/>
                <wp:lineTo x="21495" y="21343"/>
                <wp:lineTo x="21495" y="0"/>
                <wp:lineTo x="0" y="0"/>
              </wp:wrapPolygon>
            </wp:wrapTight>
            <wp:docPr id="1101852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852087" name=""/>
                    <pic:cNvPicPr/>
                  </pic:nvPicPr>
                  <pic:blipFill>
                    <a:blip r:embed="rId8">
                      <a:extLst>
                        <a:ext uri="{28A0092B-C50C-407E-A947-70E740481C1C}">
                          <a14:useLocalDpi xmlns:a14="http://schemas.microsoft.com/office/drawing/2010/main" val="0"/>
                        </a:ext>
                      </a:extLst>
                    </a:blip>
                    <a:stretch>
                      <a:fillRect/>
                    </a:stretch>
                  </pic:blipFill>
                  <pic:spPr>
                    <a:xfrm>
                      <a:off x="0" y="0"/>
                      <a:ext cx="1952898" cy="1600423"/>
                    </a:xfrm>
                    <a:prstGeom prst="rect">
                      <a:avLst/>
                    </a:prstGeom>
                  </pic:spPr>
                </pic:pic>
              </a:graphicData>
            </a:graphic>
          </wp:anchor>
        </w:drawing>
      </w:r>
    </w:p>
    <w:p w14:paraId="086AEDD9" w14:textId="1C719927" w:rsidR="00E867D8" w:rsidRDefault="00E867D8" w:rsidP="000C0DF4">
      <w:pPr>
        <w:rPr>
          <w:rFonts w:ascii="Times New Roman" w:hAnsi="Times New Roman" w:cs="Times New Roman"/>
          <w:b/>
          <w:bCs/>
          <w:color w:val="1F3864" w:themeColor="accent1" w:themeShade="80"/>
          <w:sz w:val="28"/>
          <w:szCs w:val="28"/>
          <w:lang w:val="mn-MN"/>
        </w:rPr>
      </w:pPr>
    </w:p>
    <w:p w14:paraId="1332D94F"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1F808625"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42F4F5D7"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006CE33"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1A69436B"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2897BCFC"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27459D73"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497C682D"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7AB9BFD1" w14:textId="522020D1" w:rsidR="00E867D8" w:rsidRPr="00E867D8" w:rsidRDefault="00E867D8" w:rsidP="00211A66">
      <w:pPr>
        <w:jc w:val="center"/>
        <w:rPr>
          <w:rFonts w:ascii="Times New Roman" w:hAnsi="Times New Roman" w:cs="Times New Roman"/>
          <w:b/>
          <w:bCs/>
          <w:sz w:val="28"/>
          <w:szCs w:val="28"/>
          <w:lang w:val="mn-MN"/>
        </w:rPr>
      </w:pPr>
      <w:r w:rsidRPr="00E867D8">
        <w:rPr>
          <w:rFonts w:ascii="Times New Roman" w:hAnsi="Times New Roman" w:cs="Times New Roman"/>
          <w:b/>
          <w:bCs/>
          <w:sz w:val="28"/>
          <w:szCs w:val="28"/>
          <w:lang w:val="mn-MN"/>
        </w:rPr>
        <w:t>УУЛ УУРХАЙН БҮТЭЭГДЭХҮҮНИЙ АРИЛЖААНЫ ТОЙМ</w:t>
      </w:r>
    </w:p>
    <w:p w14:paraId="0C400F9A"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221A61A"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2C88C3C9"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44543ABA"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1F6B2BA8"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7628EE58"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4DACB63"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3FB9A588"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152B3955"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4A4776DC"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3F515B2"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DBE6C7D"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7E840106"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08FB74EF"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FFA65C5"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7C50BF1"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ADC8F8C" w14:textId="77777777" w:rsidR="00E867D8" w:rsidRDefault="00E867D8" w:rsidP="00211A66">
      <w:pPr>
        <w:jc w:val="center"/>
        <w:rPr>
          <w:rFonts w:ascii="Times New Roman" w:hAnsi="Times New Roman" w:cs="Times New Roman"/>
          <w:b/>
          <w:bCs/>
          <w:color w:val="1F3864" w:themeColor="accent1" w:themeShade="80"/>
          <w:sz w:val="28"/>
          <w:szCs w:val="28"/>
          <w:lang w:val="mn-MN"/>
        </w:rPr>
      </w:pPr>
    </w:p>
    <w:p w14:paraId="67650A31" w14:textId="77777777" w:rsidR="00701C7A" w:rsidRDefault="00DD4A99" w:rsidP="00211A66">
      <w:pPr>
        <w:jc w:val="center"/>
        <w:rPr>
          <w:rFonts w:ascii="Times New Roman" w:hAnsi="Times New Roman" w:cs="Times New Roman"/>
          <w:b/>
          <w:bCs/>
          <w:color w:val="1F3864" w:themeColor="accent1" w:themeShade="80"/>
          <w:sz w:val="28"/>
          <w:szCs w:val="28"/>
          <w:lang w:val="mn-MN"/>
        </w:rPr>
      </w:pPr>
      <w:r w:rsidRPr="001A048D">
        <w:rPr>
          <w:rFonts w:ascii="Times New Roman" w:hAnsi="Times New Roman" w:cs="Times New Roman"/>
          <w:b/>
          <w:bCs/>
          <w:color w:val="1F3864" w:themeColor="accent1" w:themeShade="80"/>
          <w:sz w:val="28"/>
          <w:szCs w:val="28"/>
          <w:lang w:val="mn-MN"/>
        </w:rPr>
        <w:lastRenderedPageBreak/>
        <w:t>2023 он</w:t>
      </w:r>
      <w:r w:rsidR="00701C7A">
        <w:rPr>
          <w:rFonts w:ascii="Times New Roman" w:hAnsi="Times New Roman" w:cs="Times New Roman"/>
          <w:b/>
          <w:bCs/>
          <w:color w:val="1F3864" w:themeColor="accent1" w:themeShade="80"/>
          <w:sz w:val="28"/>
          <w:szCs w:val="28"/>
          <w:lang w:val="mn-MN"/>
        </w:rPr>
        <w:t xml:space="preserve">д МХБ-ээр арилжигдсан </w:t>
      </w:r>
      <w:r>
        <w:rPr>
          <w:rFonts w:ascii="Times New Roman" w:hAnsi="Times New Roman" w:cs="Times New Roman"/>
          <w:b/>
          <w:bCs/>
          <w:color w:val="1F3864" w:themeColor="accent1" w:themeShade="80"/>
          <w:sz w:val="28"/>
          <w:szCs w:val="28"/>
          <w:lang w:val="mn-MN"/>
        </w:rPr>
        <w:t>у</w:t>
      </w:r>
      <w:r w:rsidR="00211A66" w:rsidRPr="001A048D">
        <w:rPr>
          <w:rFonts w:ascii="Times New Roman" w:hAnsi="Times New Roman" w:cs="Times New Roman"/>
          <w:b/>
          <w:bCs/>
          <w:color w:val="1F3864" w:themeColor="accent1" w:themeShade="80"/>
          <w:sz w:val="28"/>
          <w:szCs w:val="28"/>
          <w:lang w:val="mn-MN"/>
        </w:rPr>
        <w:t xml:space="preserve">ул уурхайн бүтээгдэхүүний </w:t>
      </w:r>
    </w:p>
    <w:p w14:paraId="033B935E" w14:textId="36048B69" w:rsidR="00FB1ED8" w:rsidRPr="001A048D" w:rsidRDefault="00211A66" w:rsidP="00211A66">
      <w:pPr>
        <w:jc w:val="center"/>
        <w:rPr>
          <w:rFonts w:ascii="Times New Roman" w:hAnsi="Times New Roman" w:cs="Times New Roman"/>
          <w:b/>
          <w:bCs/>
          <w:color w:val="1F3864" w:themeColor="accent1" w:themeShade="80"/>
          <w:sz w:val="28"/>
          <w:szCs w:val="28"/>
          <w:lang w:val="mn-MN"/>
        </w:rPr>
      </w:pPr>
      <w:r w:rsidRPr="001A048D">
        <w:rPr>
          <w:rFonts w:ascii="Times New Roman" w:hAnsi="Times New Roman" w:cs="Times New Roman"/>
          <w:b/>
          <w:bCs/>
          <w:color w:val="1F3864" w:themeColor="accent1" w:themeShade="80"/>
          <w:sz w:val="28"/>
          <w:szCs w:val="28"/>
          <w:lang w:val="mn-MN"/>
        </w:rPr>
        <w:t>арилжааны тойм</w:t>
      </w:r>
    </w:p>
    <w:p w14:paraId="07031FFB" w14:textId="6DDF52D5" w:rsidR="00211A66" w:rsidRDefault="00F53244" w:rsidP="000B6E2E">
      <w:pPr>
        <w:ind w:firstLine="720"/>
        <w:jc w:val="both"/>
        <w:rPr>
          <w:rFonts w:ascii="Times New Roman" w:hAnsi="Times New Roman" w:cs="Times New Roman"/>
          <w:lang w:val="mn-MN"/>
        </w:rPr>
      </w:pPr>
      <w:bookmarkStart w:id="0" w:name="_Hlk155876392"/>
      <w:r>
        <w:rPr>
          <w:rFonts w:ascii="Times New Roman" w:hAnsi="Times New Roman" w:cs="Times New Roman"/>
          <w:lang w:val="mn-MN"/>
        </w:rPr>
        <w:t>“</w:t>
      </w:r>
      <w:r w:rsidR="00701C7A">
        <w:rPr>
          <w:rFonts w:ascii="Times New Roman" w:hAnsi="Times New Roman" w:cs="Times New Roman"/>
          <w:lang w:val="mn-MN"/>
        </w:rPr>
        <w:t>Монголын хөрөнгийн бирж</w:t>
      </w:r>
      <w:r>
        <w:rPr>
          <w:rFonts w:ascii="Times New Roman" w:hAnsi="Times New Roman" w:cs="Times New Roman"/>
          <w:lang w:val="mn-MN"/>
        </w:rPr>
        <w:t>”</w:t>
      </w:r>
      <w:r w:rsidR="00701C7A">
        <w:rPr>
          <w:rFonts w:ascii="Times New Roman" w:hAnsi="Times New Roman" w:cs="Times New Roman"/>
          <w:lang w:val="mn-MN"/>
        </w:rPr>
        <w:t xml:space="preserve"> </w:t>
      </w:r>
      <w:r>
        <w:rPr>
          <w:rFonts w:ascii="Times New Roman" w:hAnsi="Times New Roman" w:cs="Times New Roman"/>
          <w:lang w:val="mn-MN"/>
        </w:rPr>
        <w:t xml:space="preserve">ХК </w:t>
      </w:r>
      <w:r w:rsidR="00701C7A">
        <w:rPr>
          <w:rFonts w:ascii="Times New Roman" w:hAnsi="Times New Roman" w:cs="Times New Roman"/>
          <w:lang w:val="mn-MN"/>
        </w:rPr>
        <w:t xml:space="preserve">нь </w:t>
      </w:r>
      <w:r w:rsidR="00211A66" w:rsidRPr="000B6E2E">
        <w:rPr>
          <w:rFonts w:ascii="Times New Roman" w:hAnsi="Times New Roman" w:cs="Times New Roman"/>
          <w:lang w:val="mn-MN"/>
        </w:rPr>
        <w:t xml:space="preserve">Монгол Улсын Засгийн газрын 2022 оны 12 дугаар сарын 14-ний өдрийн 466 дугаар тогтоолоор батлагдсан </w:t>
      </w:r>
      <w:r w:rsidR="00211A66" w:rsidRPr="000B6E2E">
        <w:rPr>
          <w:rFonts w:ascii="Times New Roman" w:hAnsi="Times New Roman" w:cs="Times New Roman"/>
        </w:rPr>
        <w:t>“</w:t>
      </w:r>
      <w:r w:rsidR="00211A66" w:rsidRPr="000B6E2E">
        <w:rPr>
          <w:rFonts w:ascii="Times New Roman" w:hAnsi="Times New Roman" w:cs="Times New Roman"/>
          <w:lang w:val="mn-MN"/>
        </w:rPr>
        <w:t>Экспортод гаргах нүүрсний нээлттэй цахим арилжааны журам</w:t>
      </w:r>
      <w:r w:rsidR="00211A66" w:rsidRPr="000B6E2E">
        <w:rPr>
          <w:rFonts w:ascii="Times New Roman" w:hAnsi="Times New Roman" w:cs="Times New Roman"/>
        </w:rPr>
        <w:t>”</w:t>
      </w:r>
      <w:r w:rsidR="00211A66" w:rsidRPr="000B6E2E">
        <w:rPr>
          <w:rFonts w:ascii="Times New Roman" w:hAnsi="Times New Roman" w:cs="Times New Roman"/>
          <w:lang w:val="mn-MN"/>
        </w:rPr>
        <w:t xml:space="preserve">-ын хүрээнд нүүрсний арилжаанд оролцогч талууд болох нүүрс худалдах болон худалдан авах сонирхол бүхий этгээдүүдийг оролцуулсан туршилтын </w:t>
      </w:r>
      <w:r w:rsidR="006D143D">
        <w:rPr>
          <w:rFonts w:ascii="Times New Roman" w:hAnsi="Times New Roman" w:cs="Times New Roman"/>
          <w:lang w:val="mn-MN"/>
        </w:rPr>
        <w:t xml:space="preserve">цахим </w:t>
      </w:r>
      <w:r w:rsidR="00211A66" w:rsidRPr="000B6E2E">
        <w:rPr>
          <w:rFonts w:ascii="Times New Roman" w:hAnsi="Times New Roman" w:cs="Times New Roman"/>
          <w:lang w:val="mn-MN"/>
        </w:rPr>
        <w:t xml:space="preserve">дуудлага арилжааг </w:t>
      </w:r>
      <w:bookmarkEnd w:id="0"/>
      <w:r w:rsidR="00211A66" w:rsidRPr="000B6E2E">
        <w:rPr>
          <w:rFonts w:ascii="Times New Roman" w:hAnsi="Times New Roman" w:cs="Times New Roman"/>
          <w:lang w:val="mn-MN"/>
        </w:rPr>
        <w:t>2023 оны 1 дүгээр сарын 12-ны өдөр зохион байгуулсан.</w:t>
      </w:r>
      <w:r w:rsidR="001C244A">
        <w:rPr>
          <w:rFonts w:ascii="Times New Roman" w:hAnsi="Times New Roman" w:cs="Times New Roman"/>
          <w:lang w:val="mn-MN"/>
        </w:rPr>
        <w:t xml:space="preserve"> </w:t>
      </w:r>
    </w:p>
    <w:p w14:paraId="3C1C1A3D" w14:textId="4508158C" w:rsidR="00954A95" w:rsidRPr="00802842" w:rsidRDefault="00954A95" w:rsidP="00772FA3">
      <w:pPr>
        <w:ind w:firstLine="720"/>
        <w:jc w:val="both"/>
        <w:rPr>
          <w:rFonts w:ascii="Times New Roman" w:hAnsi="Times New Roman" w:cs="Times New Roman"/>
          <w:lang w:val="mn-MN"/>
        </w:rPr>
      </w:pPr>
      <w:r>
        <w:rPr>
          <w:rFonts w:ascii="Times New Roman" w:hAnsi="Times New Roman" w:cs="Times New Roman"/>
          <w:lang w:val="mn-MN"/>
        </w:rPr>
        <w:t xml:space="preserve">Уул уурхайн бүтээгдэхүүний </w:t>
      </w:r>
      <w:r w:rsidR="00C4147D">
        <w:rPr>
          <w:rFonts w:ascii="Times New Roman" w:hAnsi="Times New Roman" w:cs="Times New Roman"/>
          <w:lang w:val="mn-MN"/>
        </w:rPr>
        <w:t xml:space="preserve">цахим дуудлага </w:t>
      </w:r>
      <w:r>
        <w:rPr>
          <w:rFonts w:ascii="Times New Roman" w:hAnsi="Times New Roman" w:cs="Times New Roman"/>
          <w:lang w:val="mn-MN"/>
        </w:rPr>
        <w:t>арилжааг нээлттэй, ил тод, шударга зохион байгуулж, зах зээлийн бодит үнэ тогтох боломж</w:t>
      </w:r>
      <w:r w:rsidR="00701C7A">
        <w:rPr>
          <w:rFonts w:ascii="Times New Roman" w:hAnsi="Times New Roman" w:cs="Times New Roman"/>
          <w:lang w:val="mn-MN"/>
        </w:rPr>
        <w:t>ийг</w:t>
      </w:r>
      <w:r>
        <w:rPr>
          <w:rFonts w:ascii="Times New Roman" w:hAnsi="Times New Roman" w:cs="Times New Roman"/>
          <w:lang w:val="mn-MN"/>
        </w:rPr>
        <w:t xml:space="preserve"> бүрдүүлсэнээр өнгөрсөн 1 жилийн хугацаанд худалдагч компаниуд </w:t>
      </w:r>
      <w:r w:rsidR="006D143D">
        <w:rPr>
          <w:rFonts w:ascii="Times New Roman" w:hAnsi="Times New Roman" w:cs="Times New Roman"/>
          <w:lang w:val="mn-MN"/>
        </w:rPr>
        <w:t xml:space="preserve">болох </w:t>
      </w:r>
      <w:r w:rsidR="002214C0">
        <w:rPr>
          <w:rFonts w:ascii="Times New Roman" w:hAnsi="Times New Roman" w:cs="Times New Roman"/>
          <w:lang w:val="mn-MN"/>
        </w:rPr>
        <w:t>“</w:t>
      </w:r>
      <w:r w:rsidR="006D143D">
        <w:rPr>
          <w:rFonts w:ascii="Times New Roman" w:hAnsi="Times New Roman" w:cs="Times New Roman"/>
          <w:lang w:val="mn-MN"/>
        </w:rPr>
        <w:t>Эрдэнэс таван толгой</w:t>
      </w:r>
      <w:r w:rsidR="002214C0">
        <w:rPr>
          <w:rFonts w:ascii="Times New Roman" w:hAnsi="Times New Roman" w:cs="Times New Roman"/>
          <w:lang w:val="mn-MN"/>
        </w:rPr>
        <w:t>”</w:t>
      </w:r>
      <w:r w:rsidR="006D143D">
        <w:rPr>
          <w:rFonts w:ascii="Times New Roman" w:hAnsi="Times New Roman" w:cs="Times New Roman"/>
          <w:lang w:val="mn-MN"/>
        </w:rPr>
        <w:t xml:space="preserve"> ХК, </w:t>
      </w:r>
      <w:r w:rsidR="002214C0">
        <w:rPr>
          <w:rFonts w:ascii="Times New Roman" w:hAnsi="Times New Roman" w:cs="Times New Roman"/>
          <w:lang w:val="mn-MN"/>
        </w:rPr>
        <w:t>“</w:t>
      </w:r>
      <w:r w:rsidR="006D143D">
        <w:rPr>
          <w:rFonts w:ascii="Times New Roman" w:hAnsi="Times New Roman" w:cs="Times New Roman"/>
          <w:lang w:val="mn-MN"/>
        </w:rPr>
        <w:t>Энержи ресурс</w:t>
      </w:r>
      <w:r w:rsidR="002214C0">
        <w:rPr>
          <w:rFonts w:ascii="Times New Roman" w:hAnsi="Times New Roman" w:cs="Times New Roman"/>
          <w:lang w:val="mn-MN"/>
        </w:rPr>
        <w:t>”</w:t>
      </w:r>
      <w:r w:rsidR="006D143D">
        <w:rPr>
          <w:rFonts w:ascii="Times New Roman" w:hAnsi="Times New Roman" w:cs="Times New Roman"/>
          <w:lang w:val="mn-MN"/>
        </w:rPr>
        <w:t xml:space="preserve"> ХХК, </w:t>
      </w:r>
      <w:r w:rsidR="002214C0">
        <w:rPr>
          <w:rFonts w:ascii="Times New Roman" w:hAnsi="Times New Roman" w:cs="Times New Roman"/>
          <w:lang w:val="mn-MN"/>
        </w:rPr>
        <w:t>“</w:t>
      </w:r>
      <w:r w:rsidR="006D143D">
        <w:rPr>
          <w:rFonts w:ascii="Times New Roman" w:hAnsi="Times New Roman" w:cs="Times New Roman"/>
          <w:lang w:val="mn-MN"/>
        </w:rPr>
        <w:t>Хангад эксплорэйшн</w:t>
      </w:r>
      <w:r w:rsidR="002214C0">
        <w:rPr>
          <w:rFonts w:ascii="Times New Roman" w:hAnsi="Times New Roman" w:cs="Times New Roman"/>
          <w:lang w:val="mn-MN"/>
        </w:rPr>
        <w:t>”</w:t>
      </w:r>
      <w:r w:rsidR="006D143D">
        <w:rPr>
          <w:rFonts w:ascii="Times New Roman" w:hAnsi="Times New Roman" w:cs="Times New Roman"/>
          <w:lang w:val="mn-MN"/>
        </w:rPr>
        <w:t xml:space="preserve"> ХХК, </w:t>
      </w:r>
      <w:r w:rsidR="002214C0">
        <w:rPr>
          <w:rFonts w:ascii="Times New Roman" w:hAnsi="Times New Roman" w:cs="Times New Roman"/>
          <w:lang w:val="mn-MN"/>
        </w:rPr>
        <w:t>“</w:t>
      </w:r>
      <w:r w:rsidR="006D143D">
        <w:rPr>
          <w:rFonts w:ascii="Times New Roman" w:hAnsi="Times New Roman" w:cs="Times New Roman"/>
          <w:lang w:val="mn-MN"/>
        </w:rPr>
        <w:t>Таван толгой</w:t>
      </w:r>
      <w:r w:rsidR="002214C0">
        <w:rPr>
          <w:rFonts w:ascii="Times New Roman" w:hAnsi="Times New Roman" w:cs="Times New Roman"/>
          <w:lang w:val="mn-MN"/>
        </w:rPr>
        <w:t>”</w:t>
      </w:r>
      <w:r w:rsidR="006D143D">
        <w:rPr>
          <w:rFonts w:ascii="Times New Roman" w:hAnsi="Times New Roman" w:cs="Times New Roman"/>
          <w:lang w:val="mn-MN"/>
        </w:rPr>
        <w:t xml:space="preserve"> ХК, </w:t>
      </w:r>
      <w:r w:rsidR="002214C0">
        <w:rPr>
          <w:rFonts w:ascii="Times New Roman" w:hAnsi="Times New Roman" w:cs="Times New Roman"/>
          <w:lang w:val="mn-MN"/>
        </w:rPr>
        <w:t>“</w:t>
      </w:r>
      <w:r w:rsidR="006D143D">
        <w:rPr>
          <w:rFonts w:ascii="Times New Roman" w:hAnsi="Times New Roman" w:cs="Times New Roman"/>
          <w:lang w:val="mn-MN"/>
        </w:rPr>
        <w:t>Андын илч</w:t>
      </w:r>
      <w:r w:rsidR="002214C0">
        <w:rPr>
          <w:rFonts w:ascii="Times New Roman" w:hAnsi="Times New Roman" w:cs="Times New Roman"/>
          <w:lang w:val="mn-MN"/>
        </w:rPr>
        <w:t>”</w:t>
      </w:r>
      <w:r w:rsidR="006D143D">
        <w:rPr>
          <w:rFonts w:ascii="Times New Roman" w:hAnsi="Times New Roman" w:cs="Times New Roman"/>
          <w:lang w:val="mn-MN"/>
        </w:rPr>
        <w:t xml:space="preserve"> ХХК, </w:t>
      </w:r>
      <w:r w:rsidR="002214C0">
        <w:rPr>
          <w:rFonts w:ascii="Times New Roman" w:hAnsi="Times New Roman" w:cs="Times New Roman"/>
          <w:lang w:val="mn-MN"/>
        </w:rPr>
        <w:t>“</w:t>
      </w:r>
      <w:r w:rsidR="006D143D">
        <w:rPr>
          <w:rFonts w:ascii="Times New Roman" w:hAnsi="Times New Roman" w:cs="Times New Roman"/>
          <w:lang w:val="mn-MN"/>
        </w:rPr>
        <w:t>Монголросцветмет</w:t>
      </w:r>
      <w:r w:rsidR="002214C0">
        <w:rPr>
          <w:rFonts w:ascii="Times New Roman" w:hAnsi="Times New Roman" w:cs="Times New Roman"/>
          <w:lang w:val="mn-MN"/>
        </w:rPr>
        <w:t>”</w:t>
      </w:r>
      <w:r w:rsidR="006D143D">
        <w:rPr>
          <w:rFonts w:ascii="Times New Roman" w:hAnsi="Times New Roman" w:cs="Times New Roman"/>
          <w:lang w:val="mn-MN"/>
        </w:rPr>
        <w:t xml:space="preserve"> ТӨҮГ, </w:t>
      </w:r>
      <w:r w:rsidR="002214C0">
        <w:rPr>
          <w:rFonts w:ascii="Times New Roman" w:hAnsi="Times New Roman" w:cs="Times New Roman"/>
          <w:lang w:val="mn-MN"/>
        </w:rPr>
        <w:t>“</w:t>
      </w:r>
      <w:r w:rsidR="006D143D">
        <w:rPr>
          <w:rFonts w:ascii="Times New Roman" w:hAnsi="Times New Roman" w:cs="Times New Roman"/>
          <w:lang w:val="mn-MN"/>
        </w:rPr>
        <w:t>Дарханы төмөрлөгийн үйлдвэр</w:t>
      </w:r>
      <w:r w:rsidR="002214C0">
        <w:rPr>
          <w:rFonts w:ascii="Times New Roman" w:hAnsi="Times New Roman" w:cs="Times New Roman"/>
          <w:lang w:val="mn-MN"/>
        </w:rPr>
        <w:t>” ХХК</w:t>
      </w:r>
      <w:r w:rsidR="00BF701C">
        <w:rPr>
          <w:rFonts w:ascii="Times New Roman" w:hAnsi="Times New Roman" w:cs="Times New Roman"/>
          <w:lang w:val="mn-MN"/>
        </w:rPr>
        <w:t xml:space="preserve"> нь</w:t>
      </w:r>
      <w:r w:rsidR="002214C0">
        <w:rPr>
          <w:rFonts w:ascii="Times New Roman" w:hAnsi="Times New Roman" w:cs="Times New Roman"/>
          <w:lang w:val="mn-MN"/>
        </w:rPr>
        <w:t xml:space="preserve"> </w:t>
      </w:r>
      <w:r w:rsidR="00802842">
        <w:rPr>
          <w:rFonts w:ascii="Times New Roman" w:hAnsi="Times New Roman" w:cs="Times New Roman"/>
        </w:rPr>
        <w:t>“</w:t>
      </w:r>
      <w:r w:rsidR="00802842">
        <w:rPr>
          <w:rFonts w:ascii="Times New Roman" w:hAnsi="Times New Roman" w:cs="Times New Roman"/>
          <w:lang w:val="mn-MN"/>
        </w:rPr>
        <w:t>Монголын хөрөнгийн бирж</w:t>
      </w:r>
      <w:r w:rsidR="00802842">
        <w:rPr>
          <w:rFonts w:ascii="Times New Roman" w:hAnsi="Times New Roman" w:cs="Times New Roman"/>
        </w:rPr>
        <w:t>”</w:t>
      </w:r>
      <w:r w:rsidR="00802842">
        <w:rPr>
          <w:rFonts w:ascii="Times New Roman" w:hAnsi="Times New Roman" w:cs="Times New Roman"/>
          <w:lang w:val="mn-MN"/>
        </w:rPr>
        <w:t xml:space="preserve"> </w:t>
      </w:r>
      <w:r w:rsidR="00F53244">
        <w:rPr>
          <w:rFonts w:ascii="Times New Roman" w:hAnsi="Times New Roman" w:cs="Times New Roman"/>
          <w:lang w:val="mn-MN"/>
        </w:rPr>
        <w:t>ХК-аар</w:t>
      </w:r>
      <w:r w:rsidR="00802842">
        <w:rPr>
          <w:rFonts w:ascii="Times New Roman" w:hAnsi="Times New Roman" w:cs="Times New Roman"/>
          <w:lang w:val="mn-MN"/>
        </w:rPr>
        <w:t xml:space="preserve"> дамжуулан </w:t>
      </w:r>
      <w:r w:rsidR="00C4147D">
        <w:rPr>
          <w:rFonts w:ascii="Times New Roman" w:hAnsi="Times New Roman" w:cs="Times New Roman"/>
          <w:lang w:val="mn-MN"/>
        </w:rPr>
        <w:t xml:space="preserve">нийт </w:t>
      </w:r>
      <w:r w:rsidR="00802842">
        <w:rPr>
          <w:rFonts w:ascii="Times New Roman" w:hAnsi="Times New Roman" w:cs="Times New Roman"/>
          <w:lang w:val="mn-MN"/>
        </w:rPr>
        <w:t xml:space="preserve">15.6 </w:t>
      </w:r>
      <w:r w:rsidR="00C4147D">
        <w:rPr>
          <w:rFonts w:ascii="Times New Roman" w:hAnsi="Times New Roman" w:cs="Times New Roman"/>
          <w:lang w:val="mn-MN"/>
        </w:rPr>
        <w:t xml:space="preserve">сая </w:t>
      </w:r>
      <w:r w:rsidR="00802842">
        <w:rPr>
          <w:rFonts w:ascii="Times New Roman" w:hAnsi="Times New Roman" w:cs="Times New Roman"/>
          <w:lang w:val="mn-MN"/>
        </w:rPr>
        <w:t xml:space="preserve">тонн </w:t>
      </w:r>
      <w:r w:rsidR="00C4147D">
        <w:rPr>
          <w:rFonts w:ascii="Times New Roman" w:hAnsi="Times New Roman" w:cs="Times New Roman"/>
          <w:lang w:val="mn-MN"/>
        </w:rPr>
        <w:t xml:space="preserve">нүүрс, төмрийн </w:t>
      </w:r>
      <w:r w:rsidR="0043260C">
        <w:rPr>
          <w:rFonts w:ascii="Times New Roman" w:hAnsi="Times New Roman" w:cs="Times New Roman"/>
          <w:lang w:val="mn-MN"/>
        </w:rPr>
        <w:t>хүдэр</w:t>
      </w:r>
      <w:r w:rsidR="00C4147D">
        <w:rPr>
          <w:rFonts w:ascii="Times New Roman" w:hAnsi="Times New Roman" w:cs="Times New Roman"/>
          <w:lang w:val="mn-MN"/>
        </w:rPr>
        <w:t xml:space="preserve"> болон </w:t>
      </w:r>
      <w:r w:rsidR="0043260C">
        <w:rPr>
          <w:rFonts w:ascii="Times New Roman" w:hAnsi="Times New Roman" w:cs="Times New Roman"/>
          <w:lang w:val="mn-MN"/>
        </w:rPr>
        <w:t>баяжмалыг</w:t>
      </w:r>
      <w:r w:rsidR="00802842">
        <w:rPr>
          <w:rFonts w:ascii="Times New Roman" w:hAnsi="Times New Roman" w:cs="Times New Roman"/>
          <w:lang w:val="mn-MN"/>
        </w:rPr>
        <w:t xml:space="preserve"> 7.5 их наяд төгрөг</w:t>
      </w:r>
      <w:r w:rsidR="00F34146">
        <w:rPr>
          <w:rFonts w:ascii="Times New Roman" w:hAnsi="Times New Roman" w:cs="Times New Roman"/>
          <w:lang w:val="mn-MN"/>
        </w:rPr>
        <w:t>өөр</w:t>
      </w:r>
      <w:r w:rsidR="00802842">
        <w:rPr>
          <w:rFonts w:ascii="Times New Roman" w:hAnsi="Times New Roman" w:cs="Times New Roman"/>
          <w:lang w:val="mn-MN"/>
        </w:rPr>
        <w:t xml:space="preserve"> </w:t>
      </w:r>
      <w:r w:rsidR="0057033D">
        <w:rPr>
          <w:rFonts w:ascii="Times New Roman" w:hAnsi="Times New Roman" w:cs="Times New Roman"/>
          <w:lang w:val="mn-MN"/>
        </w:rPr>
        <w:t xml:space="preserve">буюу </w:t>
      </w:r>
      <w:r w:rsidR="0057033D" w:rsidRPr="00EB103C">
        <w:rPr>
          <w:rFonts w:ascii="Times New Roman" w:hAnsi="Times New Roman" w:cs="Times New Roman"/>
          <w:lang w:val="mn-MN"/>
        </w:rPr>
        <w:t xml:space="preserve">2.2 </w:t>
      </w:r>
      <w:r w:rsidR="0057033D">
        <w:rPr>
          <w:rFonts w:ascii="Times New Roman" w:hAnsi="Times New Roman" w:cs="Times New Roman"/>
          <w:lang w:val="mn-MN"/>
        </w:rPr>
        <w:t xml:space="preserve">тэрбум ам.доллараар </w:t>
      </w:r>
      <w:r w:rsidR="00802842">
        <w:rPr>
          <w:rFonts w:ascii="Times New Roman" w:hAnsi="Times New Roman" w:cs="Times New Roman"/>
          <w:lang w:val="mn-MN"/>
        </w:rPr>
        <w:t>арилжаа</w:t>
      </w:r>
      <w:r w:rsidR="00F34146">
        <w:rPr>
          <w:rFonts w:ascii="Times New Roman" w:hAnsi="Times New Roman" w:cs="Times New Roman"/>
          <w:lang w:val="mn-MN"/>
        </w:rPr>
        <w:t>лсан</w:t>
      </w:r>
      <w:r w:rsidR="002214C0">
        <w:rPr>
          <w:rFonts w:ascii="Times New Roman" w:hAnsi="Times New Roman" w:cs="Times New Roman"/>
          <w:lang w:val="mn-MN"/>
        </w:rPr>
        <w:t xml:space="preserve"> байна.</w:t>
      </w:r>
      <w:r w:rsidR="00A52B12">
        <w:rPr>
          <w:rFonts w:ascii="Times New Roman" w:hAnsi="Times New Roman" w:cs="Times New Roman"/>
          <w:lang w:val="mn-MN"/>
        </w:rPr>
        <w:t xml:space="preserve"> </w:t>
      </w:r>
      <w:r w:rsidR="00802842">
        <w:rPr>
          <w:rFonts w:ascii="Times New Roman" w:hAnsi="Times New Roman" w:cs="Times New Roman"/>
          <w:lang w:val="mn-MN"/>
        </w:rPr>
        <w:t xml:space="preserve">2023 онд нийт 344 удаагийн </w:t>
      </w:r>
      <w:r w:rsidR="00CA13AF">
        <w:rPr>
          <w:rFonts w:ascii="Times New Roman" w:hAnsi="Times New Roman" w:cs="Times New Roman"/>
          <w:lang w:val="mn-MN"/>
        </w:rPr>
        <w:t xml:space="preserve">УУБ-ийн цахим </w:t>
      </w:r>
      <w:r w:rsidR="00C4147D">
        <w:rPr>
          <w:rFonts w:ascii="Times New Roman" w:hAnsi="Times New Roman" w:cs="Times New Roman"/>
          <w:lang w:val="mn-MN"/>
        </w:rPr>
        <w:t xml:space="preserve">дуудлага </w:t>
      </w:r>
      <w:r w:rsidR="00802842">
        <w:rPr>
          <w:rFonts w:ascii="Times New Roman" w:hAnsi="Times New Roman" w:cs="Times New Roman"/>
          <w:lang w:val="mn-MN"/>
        </w:rPr>
        <w:t>арилжаа зохион байгуулагдсан</w:t>
      </w:r>
      <w:r w:rsidR="00CA13AF">
        <w:rPr>
          <w:rFonts w:ascii="Times New Roman" w:hAnsi="Times New Roman" w:cs="Times New Roman"/>
          <w:lang w:val="mn-MN"/>
        </w:rPr>
        <w:t xml:space="preserve"> байна.</w:t>
      </w:r>
    </w:p>
    <w:p w14:paraId="178D2797" w14:textId="795C3944" w:rsidR="001A048D" w:rsidRPr="006F75A0" w:rsidRDefault="001A048D" w:rsidP="000B6E2E">
      <w:pPr>
        <w:ind w:firstLine="720"/>
        <w:jc w:val="both"/>
        <w:rPr>
          <w:rFonts w:ascii="Times New Roman" w:hAnsi="Times New Roman" w:cs="Times New Roman"/>
          <w:b/>
          <w:bCs/>
          <w:color w:val="1F3864" w:themeColor="accent1" w:themeShade="80"/>
        </w:rPr>
      </w:pPr>
      <w:r w:rsidRPr="001A048D">
        <w:rPr>
          <w:rFonts w:ascii="Times New Roman" w:hAnsi="Times New Roman" w:cs="Times New Roman"/>
          <w:b/>
          <w:bCs/>
          <w:color w:val="1F3864" w:themeColor="accent1" w:themeShade="80"/>
          <w:lang w:val="mn-MN"/>
        </w:rPr>
        <w:t>Уул уурхайн бүтээгдэхүүний арилжаа</w:t>
      </w:r>
    </w:p>
    <w:p w14:paraId="21045505" w14:textId="359BD116" w:rsidR="001A048D" w:rsidRPr="00B873C3" w:rsidRDefault="001A048D" w:rsidP="001A048D">
      <w:pPr>
        <w:jc w:val="both"/>
        <w:rPr>
          <w:rFonts w:ascii="Times New Roman" w:hAnsi="Times New Roman" w:cs="Times New Roman"/>
        </w:rPr>
      </w:pPr>
      <w:r w:rsidRPr="001A048D">
        <w:rPr>
          <w:rFonts w:ascii="Times New Roman" w:hAnsi="Times New Roman" w:cs="Times New Roman"/>
          <w:lang w:val="mn-MN"/>
        </w:rPr>
        <w:tab/>
        <w:t xml:space="preserve">2023 </w:t>
      </w:r>
      <w:r>
        <w:rPr>
          <w:rFonts w:ascii="Times New Roman" w:hAnsi="Times New Roman" w:cs="Times New Roman"/>
          <w:lang w:val="mn-MN"/>
        </w:rPr>
        <w:t>онд нийт 299 удаагийн</w:t>
      </w:r>
      <w:r w:rsidR="009C725A">
        <w:rPr>
          <w:rFonts w:ascii="Times New Roman" w:hAnsi="Times New Roman" w:cs="Times New Roman"/>
          <w:lang w:val="mn-MN"/>
        </w:rPr>
        <w:t xml:space="preserve"> </w:t>
      </w:r>
      <w:r>
        <w:rPr>
          <w:rFonts w:ascii="Times New Roman" w:hAnsi="Times New Roman" w:cs="Times New Roman"/>
          <w:lang w:val="mn-MN"/>
        </w:rPr>
        <w:t xml:space="preserve">арилжаа </w:t>
      </w:r>
      <w:r w:rsidR="00A14BA5">
        <w:rPr>
          <w:rFonts w:ascii="Times New Roman" w:hAnsi="Times New Roman" w:cs="Times New Roman"/>
          <w:lang w:val="mn-MN"/>
        </w:rPr>
        <w:t xml:space="preserve">амжилттай </w:t>
      </w:r>
      <w:r>
        <w:rPr>
          <w:rFonts w:ascii="Times New Roman" w:hAnsi="Times New Roman" w:cs="Times New Roman"/>
          <w:lang w:val="mn-MN"/>
        </w:rPr>
        <w:t>явагдаж 15,615,050 тонн уул уурхайн бүтээгдэхүүн арилжигдсан</w:t>
      </w:r>
      <w:r w:rsidR="008F2148">
        <w:rPr>
          <w:rFonts w:ascii="Times New Roman" w:hAnsi="Times New Roman" w:cs="Times New Roman"/>
          <w:lang w:val="mn-MN"/>
        </w:rPr>
        <w:t xml:space="preserve"> бөгөөд </w:t>
      </w:r>
      <w:r w:rsidR="002301A6">
        <w:rPr>
          <w:rFonts w:ascii="Times New Roman" w:hAnsi="Times New Roman" w:cs="Times New Roman"/>
          <w:lang w:val="mn-MN"/>
        </w:rPr>
        <w:t xml:space="preserve">нүүрсний арилжаагаар 14,937,600 тонн нүүрс, төмрийн  арилжаагаар  677,450 тонн төмрийн </w:t>
      </w:r>
      <w:r w:rsidR="00A00540">
        <w:rPr>
          <w:rFonts w:ascii="Times New Roman" w:hAnsi="Times New Roman" w:cs="Times New Roman"/>
          <w:lang w:val="mn-MN"/>
        </w:rPr>
        <w:t>хүдэр</w:t>
      </w:r>
      <w:r w:rsidR="002301A6">
        <w:rPr>
          <w:rFonts w:ascii="Times New Roman" w:hAnsi="Times New Roman" w:cs="Times New Roman"/>
          <w:lang w:val="mn-MN"/>
        </w:rPr>
        <w:t xml:space="preserve"> </w:t>
      </w:r>
      <w:r w:rsidR="009C725A">
        <w:rPr>
          <w:rFonts w:ascii="Times New Roman" w:hAnsi="Times New Roman" w:cs="Times New Roman"/>
          <w:lang w:val="mn-MN"/>
        </w:rPr>
        <w:t xml:space="preserve">болон </w:t>
      </w:r>
      <w:r w:rsidR="00A00540">
        <w:rPr>
          <w:rFonts w:ascii="Times New Roman" w:hAnsi="Times New Roman" w:cs="Times New Roman"/>
          <w:lang w:val="mn-MN"/>
        </w:rPr>
        <w:t>баяжмал</w:t>
      </w:r>
      <w:r w:rsidR="009C725A">
        <w:rPr>
          <w:rFonts w:ascii="Times New Roman" w:hAnsi="Times New Roman" w:cs="Times New Roman"/>
          <w:lang w:val="mn-MN"/>
        </w:rPr>
        <w:t xml:space="preserve"> </w:t>
      </w:r>
      <w:r w:rsidR="002301A6">
        <w:rPr>
          <w:rFonts w:ascii="Times New Roman" w:hAnsi="Times New Roman" w:cs="Times New Roman"/>
          <w:lang w:val="mn-MN"/>
        </w:rPr>
        <w:t xml:space="preserve">тус тус арилжигдсан байна. </w:t>
      </w:r>
      <w:r w:rsidR="00D1433A">
        <w:rPr>
          <w:rFonts w:ascii="Times New Roman" w:hAnsi="Times New Roman" w:cs="Times New Roman"/>
          <w:lang w:val="mn-MN"/>
        </w:rPr>
        <w:t xml:space="preserve">Нийт арилжааны 95.7 хувийг нүүрсний арилжаа, </w:t>
      </w:r>
      <w:r w:rsidR="00D1433A">
        <w:rPr>
          <w:rFonts w:ascii="Times New Roman" w:hAnsi="Times New Roman" w:cs="Times New Roman"/>
        </w:rPr>
        <w:t>4.3</w:t>
      </w:r>
      <w:r w:rsidR="00D1433A">
        <w:rPr>
          <w:rFonts w:ascii="Times New Roman" w:hAnsi="Times New Roman" w:cs="Times New Roman"/>
          <w:lang w:val="mn-MN"/>
        </w:rPr>
        <w:t xml:space="preserve"> хувийг төмрийн баяжмалын арилжаа </w:t>
      </w:r>
      <w:r w:rsidR="002D41E8">
        <w:rPr>
          <w:rFonts w:ascii="Times New Roman" w:hAnsi="Times New Roman" w:cs="Times New Roman"/>
          <w:lang w:val="mn-MN"/>
        </w:rPr>
        <w:t xml:space="preserve">тус тус </w:t>
      </w:r>
      <w:r w:rsidR="00D1433A">
        <w:rPr>
          <w:rFonts w:ascii="Times New Roman" w:hAnsi="Times New Roman" w:cs="Times New Roman"/>
          <w:lang w:val="mn-MN"/>
        </w:rPr>
        <w:t>эзэлж байна.</w:t>
      </w:r>
    </w:p>
    <w:p w14:paraId="3F7E06AB" w14:textId="78231B34" w:rsidR="0043731D" w:rsidRPr="002301A6" w:rsidRDefault="0043731D" w:rsidP="001A048D">
      <w:pPr>
        <w:jc w:val="both"/>
        <w:rPr>
          <w:rFonts w:ascii="Times New Roman" w:hAnsi="Times New Roman" w:cs="Times New Roman"/>
          <w:lang w:val="mn-MN"/>
        </w:rPr>
      </w:pPr>
    </w:p>
    <w:p w14:paraId="668F64BB" w14:textId="34C54F1A" w:rsidR="001A048D" w:rsidRPr="00964D5F" w:rsidRDefault="0043731D" w:rsidP="00A12EA8">
      <w:pPr>
        <w:spacing w:after="0"/>
        <w:jc w:val="center"/>
        <w:rPr>
          <w:rFonts w:ascii="Times New Roman" w:hAnsi="Times New Roman" w:cs="Times New Roman"/>
          <w:i/>
          <w:iCs/>
          <w:color w:val="2F5496" w:themeColor="accent1" w:themeShade="BF"/>
          <w:sz w:val="16"/>
          <w:szCs w:val="16"/>
          <w:lang w:val="mn-MN"/>
        </w:rPr>
      </w:pPr>
      <w:r w:rsidRPr="00964D5F">
        <w:rPr>
          <w:rFonts w:ascii="Times New Roman" w:hAnsi="Times New Roman" w:cs="Times New Roman"/>
          <w:i/>
          <w:iCs/>
          <w:color w:val="2F5496" w:themeColor="accent1" w:themeShade="BF"/>
          <w:sz w:val="16"/>
          <w:szCs w:val="16"/>
          <w:lang w:val="mn-MN"/>
        </w:rPr>
        <w:t>График1. Уул уурхайн бүтээгдэхүүний арилжаа 2023 он.</w:t>
      </w:r>
    </w:p>
    <w:p w14:paraId="4A0BC919" w14:textId="75D79419" w:rsidR="001A048D" w:rsidRDefault="00101388" w:rsidP="001A048D">
      <w:pPr>
        <w:jc w:val="both"/>
        <w:rPr>
          <w:rFonts w:ascii="Times New Roman" w:hAnsi="Times New Roman" w:cs="Times New Roman"/>
          <w:i/>
          <w:iCs/>
          <w:sz w:val="20"/>
          <w:szCs w:val="20"/>
          <w:lang w:val="mn-MN"/>
        </w:rPr>
      </w:pPr>
      <w:r w:rsidRPr="0043731D">
        <w:rPr>
          <w:rFonts w:ascii="Times New Roman" w:hAnsi="Times New Roman" w:cs="Times New Roman"/>
          <w:i/>
          <w:iCs/>
          <w:noProof/>
          <w:sz w:val="20"/>
          <w:szCs w:val="20"/>
          <w:lang w:val="mn-MN"/>
        </w:rPr>
        <w:drawing>
          <wp:anchor distT="0" distB="0" distL="114300" distR="114300" simplePos="0" relativeHeight="251658240" behindDoc="1" locked="0" layoutInCell="1" allowOverlap="1" wp14:anchorId="71E5DA48" wp14:editId="620625E1">
            <wp:simplePos x="0" y="0"/>
            <wp:positionH relativeFrom="column">
              <wp:posOffset>814926</wp:posOffset>
            </wp:positionH>
            <wp:positionV relativeFrom="paragraph">
              <wp:posOffset>31364</wp:posOffset>
            </wp:positionV>
            <wp:extent cx="4778375" cy="2719070"/>
            <wp:effectExtent l="0" t="0" r="3175" b="5080"/>
            <wp:wrapNone/>
            <wp:docPr id="9664882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B9D62CA" w14:textId="77777777" w:rsidR="00101388" w:rsidRPr="00101388" w:rsidRDefault="00101388" w:rsidP="00101388">
      <w:pPr>
        <w:rPr>
          <w:rFonts w:ascii="Times New Roman" w:hAnsi="Times New Roman" w:cs="Times New Roman"/>
          <w:sz w:val="20"/>
          <w:szCs w:val="20"/>
          <w:lang w:val="mn-MN"/>
        </w:rPr>
      </w:pPr>
    </w:p>
    <w:p w14:paraId="307EB7D9" w14:textId="1A81DC09" w:rsidR="00101388" w:rsidRPr="00101388" w:rsidRDefault="00101388" w:rsidP="00CA6DA5">
      <w:pPr>
        <w:tabs>
          <w:tab w:val="left" w:pos="4107"/>
        </w:tabs>
        <w:rPr>
          <w:rFonts w:ascii="Times New Roman" w:hAnsi="Times New Roman" w:cs="Times New Roman"/>
          <w:sz w:val="20"/>
          <w:szCs w:val="20"/>
          <w:lang w:val="mn-MN"/>
        </w:rPr>
      </w:pPr>
    </w:p>
    <w:p w14:paraId="5F9BD3C0" w14:textId="77777777" w:rsidR="00101388" w:rsidRPr="00101388" w:rsidRDefault="00101388" w:rsidP="00101388">
      <w:pPr>
        <w:rPr>
          <w:rFonts w:ascii="Times New Roman" w:hAnsi="Times New Roman" w:cs="Times New Roman"/>
          <w:sz w:val="20"/>
          <w:szCs w:val="20"/>
          <w:lang w:val="mn-MN"/>
        </w:rPr>
      </w:pPr>
    </w:p>
    <w:p w14:paraId="32AAE19F" w14:textId="77777777" w:rsidR="00101388" w:rsidRPr="00101388" w:rsidRDefault="00101388" w:rsidP="00101388">
      <w:pPr>
        <w:rPr>
          <w:rFonts w:ascii="Times New Roman" w:hAnsi="Times New Roman" w:cs="Times New Roman"/>
          <w:sz w:val="20"/>
          <w:szCs w:val="20"/>
          <w:lang w:val="mn-MN"/>
        </w:rPr>
      </w:pPr>
    </w:p>
    <w:p w14:paraId="347E54E2" w14:textId="77777777" w:rsidR="00101388" w:rsidRPr="00101388" w:rsidRDefault="00101388" w:rsidP="00101388">
      <w:pPr>
        <w:rPr>
          <w:rFonts w:ascii="Times New Roman" w:hAnsi="Times New Roman" w:cs="Times New Roman"/>
          <w:sz w:val="20"/>
          <w:szCs w:val="20"/>
          <w:lang w:val="mn-MN"/>
        </w:rPr>
      </w:pPr>
    </w:p>
    <w:p w14:paraId="0F25F9A5" w14:textId="62CFA63B" w:rsidR="00101388" w:rsidRPr="00101388" w:rsidRDefault="005B1333" w:rsidP="005B1333">
      <w:pPr>
        <w:tabs>
          <w:tab w:val="left" w:pos="7551"/>
        </w:tabs>
        <w:rPr>
          <w:rFonts w:ascii="Times New Roman" w:hAnsi="Times New Roman" w:cs="Times New Roman"/>
          <w:sz w:val="20"/>
          <w:szCs w:val="20"/>
          <w:lang w:val="mn-MN"/>
        </w:rPr>
      </w:pPr>
      <w:r>
        <w:rPr>
          <w:rFonts w:ascii="Times New Roman" w:hAnsi="Times New Roman" w:cs="Times New Roman"/>
          <w:sz w:val="20"/>
          <w:szCs w:val="20"/>
          <w:lang w:val="mn-MN"/>
        </w:rPr>
        <w:tab/>
      </w:r>
    </w:p>
    <w:p w14:paraId="07FEA75D" w14:textId="4442CB7B" w:rsidR="00101388" w:rsidRPr="00101388" w:rsidRDefault="00CA6DA5" w:rsidP="00CA6DA5">
      <w:pPr>
        <w:tabs>
          <w:tab w:val="left" w:pos="6737"/>
        </w:tabs>
        <w:rPr>
          <w:rFonts w:ascii="Times New Roman" w:hAnsi="Times New Roman" w:cs="Times New Roman"/>
          <w:sz w:val="20"/>
          <w:szCs w:val="20"/>
          <w:lang w:val="mn-MN"/>
        </w:rPr>
      </w:pPr>
      <w:r>
        <w:rPr>
          <w:rFonts w:ascii="Times New Roman" w:hAnsi="Times New Roman" w:cs="Times New Roman"/>
          <w:sz w:val="20"/>
          <w:szCs w:val="20"/>
          <w:lang w:val="mn-MN"/>
        </w:rPr>
        <w:tab/>
      </w:r>
    </w:p>
    <w:p w14:paraId="472CE049" w14:textId="0DAF99FC" w:rsidR="00101388" w:rsidRPr="00101388" w:rsidRDefault="005B1333" w:rsidP="005B1333">
      <w:pPr>
        <w:tabs>
          <w:tab w:val="left" w:pos="6561"/>
          <w:tab w:val="left" w:pos="6975"/>
        </w:tabs>
        <w:rPr>
          <w:rFonts w:ascii="Times New Roman" w:hAnsi="Times New Roman" w:cs="Times New Roman"/>
          <w:sz w:val="20"/>
          <w:szCs w:val="20"/>
          <w:lang w:val="mn-MN"/>
        </w:rPr>
      </w:pPr>
      <w:r>
        <w:rPr>
          <w:rFonts w:ascii="Times New Roman" w:hAnsi="Times New Roman" w:cs="Times New Roman"/>
          <w:sz w:val="20"/>
          <w:szCs w:val="20"/>
          <w:lang w:val="mn-MN"/>
        </w:rPr>
        <w:tab/>
      </w:r>
      <w:r>
        <w:rPr>
          <w:rFonts w:ascii="Times New Roman" w:hAnsi="Times New Roman" w:cs="Times New Roman"/>
          <w:sz w:val="20"/>
          <w:szCs w:val="20"/>
          <w:lang w:val="mn-MN"/>
        </w:rPr>
        <w:tab/>
      </w:r>
    </w:p>
    <w:p w14:paraId="35D2A42E" w14:textId="77777777" w:rsidR="00101388" w:rsidRDefault="00101388" w:rsidP="00101388">
      <w:pPr>
        <w:rPr>
          <w:rFonts w:ascii="Times New Roman" w:hAnsi="Times New Roman" w:cs="Times New Roman"/>
          <w:i/>
          <w:iCs/>
          <w:sz w:val="20"/>
          <w:szCs w:val="20"/>
        </w:rPr>
      </w:pPr>
    </w:p>
    <w:p w14:paraId="597EBA60" w14:textId="77777777" w:rsidR="00F918DA" w:rsidRDefault="00F918DA" w:rsidP="00101388">
      <w:pPr>
        <w:rPr>
          <w:rFonts w:ascii="Times New Roman" w:hAnsi="Times New Roman" w:cs="Times New Roman"/>
          <w:i/>
          <w:iCs/>
          <w:sz w:val="20"/>
          <w:szCs w:val="20"/>
        </w:rPr>
      </w:pPr>
    </w:p>
    <w:p w14:paraId="1B05FA4A" w14:textId="77777777" w:rsidR="00F918DA" w:rsidRPr="008F157A" w:rsidRDefault="00F918DA" w:rsidP="00101388">
      <w:pPr>
        <w:rPr>
          <w:rFonts w:ascii="Times New Roman" w:hAnsi="Times New Roman" w:cs="Times New Roman"/>
          <w:i/>
          <w:iCs/>
          <w:sz w:val="20"/>
          <w:szCs w:val="20"/>
        </w:rPr>
      </w:pPr>
    </w:p>
    <w:p w14:paraId="005AA403" w14:textId="479B9CB7" w:rsidR="00101388" w:rsidRPr="00101388" w:rsidRDefault="00101388" w:rsidP="00101388">
      <w:pPr>
        <w:pStyle w:val="ListParagraph"/>
        <w:numPr>
          <w:ilvl w:val="0"/>
          <w:numId w:val="1"/>
        </w:numPr>
        <w:jc w:val="both"/>
        <w:rPr>
          <w:rFonts w:ascii="Times New Roman" w:hAnsi="Times New Roman" w:cs="Times New Roman"/>
          <w:i/>
          <w:iCs/>
          <w:color w:val="1F3864" w:themeColor="accent1" w:themeShade="80"/>
          <w:lang w:val="mn-MN"/>
        </w:rPr>
      </w:pPr>
      <w:bookmarkStart w:id="1" w:name="_Hlk155884251"/>
      <w:r w:rsidRPr="00101388">
        <w:rPr>
          <w:rFonts w:ascii="Times New Roman" w:hAnsi="Times New Roman" w:cs="Times New Roman"/>
          <w:i/>
          <w:iCs/>
          <w:color w:val="1F3864" w:themeColor="accent1" w:themeShade="80"/>
          <w:lang w:val="mn-MN"/>
        </w:rPr>
        <w:t>Нүүрсний арилжаа</w:t>
      </w:r>
    </w:p>
    <w:bookmarkEnd w:id="1"/>
    <w:p w14:paraId="5AA227C5" w14:textId="0413B575" w:rsidR="00511683" w:rsidRPr="004D0AAF" w:rsidRDefault="00101388" w:rsidP="00511683">
      <w:pPr>
        <w:spacing w:after="0"/>
        <w:ind w:left="100" w:right="60" w:firstLine="620"/>
        <w:jc w:val="both"/>
        <w:rPr>
          <w:rFonts w:ascii="Times New Roman" w:eastAsia="Times New Roman" w:hAnsi="Times New Roman" w:cs="Times New Roman"/>
        </w:rPr>
      </w:pPr>
      <w:r w:rsidRPr="00101388">
        <w:rPr>
          <w:rFonts w:ascii="Times New Roman" w:hAnsi="Times New Roman" w:cs="Times New Roman"/>
          <w:lang w:val="mn-MN"/>
        </w:rPr>
        <w:t xml:space="preserve">2023 онд нийт </w:t>
      </w:r>
      <w:r>
        <w:rPr>
          <w:rFonts w:ascii="Times New Roman" w:hAnsi="Times New Roman" w:cs="Times New Roman"/>
          <w:lang w:val="mn-MN"/>
        </w:rPr>
        <w:t xml:space="preserve">204 удаагийн нүүрсний </w:t>
      </w:r>
      <w:r w:rsidR="00D26763">
        <w:rPr>
          <w:rFonts w:ascii="Times New Roman" w:hAnsi="Times New Roman" w:cs="Times New Roman"/>
          <w:lang w:val="mn-MN"/>
        </w:rPr>
        <w:t xml:space="preserve">дуудлага </w:t>
      </w:r>
      <w:r>
        <w:rPr>
          <w:rFonts w:ascii="Times New Roman" w:hAnsi="Times New Roman" w:cs="Times New Roman"/>
          <w:lang w:val="mn-MN"/>
        </w:rPr>
        <w:t>арилжаа явагдаж 14</w:t>
      </w:r>
      <w:r w:rsidR="000D39BC">
        <w:rPr>
          <w:rFonts w:ascii="Times New Roman" w:hAnsi="Times New Roman" w:cs="Times New Roman"/>
          <w:lang w:val="mn-MN"/>
        </w:rPr>
        <w:t>.9 сая</w:t>
      </w:r>
      <w:r>
        <w:rPr>
          <w:rFonts w:ascii="Times New Roman" w:hAnsi="Times New Roman" w:cs="Times New Roman"/>
          <w:lang w:val="mn-MN"/>
        </w:rPr>
        <w:t xml:space="preserve"> тонн нүүрсийг 7</w:t>
      </w:r>
      <w:r w:rsidR="00C00C3B">
        <w:rPr>
          <w:rFonts w:ascii="Times New Roman" w:hAnsi="Times New Roman" w:cs="Times New Roman"/>
          <w:lang w:val="mn-MN"/>
        </w:rPr>
        <w:t xml:space="preserve"> их наяд </w:t>
      </w:r>
      <w:r>
        <w:rPr>
          <w:rFonts w:ascii="Times New Roman" w:hAnsi="Times New Roman" w:cs="Times New Roman"/>
          <w:lang w:val="mn-MN"/>
        </w:rPr>
        <w:t>345</w:t>
      </w:r>
      <w:r w:rsidR="00B758E4">
        <w:rPr>
          <w:rFonts w:ascii="Times New Roman" w:hAnsi="Times New Roman" w:cs="Times New Roman"/>
          <w:lang w:val="mn-MN"/>
        </w:rPr>
        <w:t>.</w:t>
      </w:r>
      <w:r w:rsidR="000D39BC">
        <w:rPr>
          <w:rFonts w:ascii="Times New Roman" w:hAnsi="Times New Roman" w:cs="Times New Roman"/>
          <w:lang w:val="mn-MN"/>
        </w:rPr>
        <w:t>2</w:t>
      </w:r>
      <w:r w:rsidR="00B758E4">
        <w:rPr>
          <w:rFonts w:ascii="Times New Roman" w:hAnsi="Times New Roman" w:cs="Times New Roman"/>
          <w:lang w:val="mn-MN"/>
        </w:rPr>
        <w:t xml:space="preserve"> тэрбум төгрөгөөр </w:t>
      </w:r>
      <w:r w:rsidR="000D39BC">
        <w:rPr>
          <w:rFonts w:ascii="Times New Roman" w:hAnsi="Times New Roman" w:cs="Times New Roman"/>
          <w:lang w:val="mn-MN"/>
        </w:rPr>
        <w:t xml:space="preserve">буюу </w:t>
      </w:r>
      <w:r w:rsidR="00EA0BFD" w:rsidRPr="00E33207">
        <w:rPr>
          <w:rFonts w:ascii="Times New Roman" w:hAnsi="Times New Roman" w:cs="Times New Roman"/>
        </w:rPr>
        <w:t>2</w:t>
      </w:r>
      <w:r w:rsidR="00EA0BFD" w:rsidRPr="00E33207">
        <w:rPr>
          <w:rFonts w:ascii="Times New Roman" w:hAnsi="Times New Roman" w:cs="Times New Roman"/>
          <w:lang w:val="mn-MN"/>
        </w:rPr>
        <w:t>.</w:t>
      </w:r>
      <w:r w:rsidR="00E33207" w:rsidRPr="00E33207">
        <w:rPr>
          <w:rFonts w:ascii="Times New Roman" w:hAnsi="Times New Roman" w:cs="Times New Roman"/>
          <w:lang w:val="mn-MN"/>
        </w:rPr>
        <w:t>15</w:t>
      </w:r>
      <w:r w:rsidR="00EA0BFD" w:rsidRPr="00E33207">
        <w:rPr>
          <w:rFonts w:ascii="Times New Roman" w:hAnsi="Times New Roman" w:cs="Times New Roman"/>
          <w:lang w:val="mn-MN"/>
        </w:rPr>
        <w:t xml:space="preserve"> </w:t>
      </w:r>
      <w:r w:rsidR="00EA0BFD">
        <w:rPr>
          <w:rFonts w:ascii="Times New Roman" w:hAnsi="Times New Roman" w:cs="Times New Roman"/>
          <w:lang w:val="mn-MN"/>
        </w:rPr>
        <w:t xml:space="preserve">тэрбум </w:t>
      </w:r>
      <w:r w:rsidR="000D39BC">
        <w:rPr>
          <w:rFonts w:ascii="Times New Roman" w:hAnsi="Times New Roman" w:cs="Times New Roman"/>
          <w:lang w:val="mn-MN"/>
        </w:rPr>
        <w:t xml:space="preserve">ам.доллараар </w:t>
      </w:r>
      <w:r w:rsidR="00B758E4">
        <w:rPr>
          <w:rFonts w:ascii="Times New Roman" w:hAnsi="Times New Roman" w:cs="Times New Roman"/>
          <w:lang w:val="mn-MN"/>
        </w:rPr>
        <w:t>арилжсан</w:t>
      </w:r>
      <w:r w:rsidR="000D39BC">
        <w:rPr>
          <w:rFonts w:ascii="Times New Roman" w:hAnsi="Times New Roman" w:cs="Times New Roman"/>
          <w:lang w:val="mn-MN"/>
        </w:rPr>
        <w:t xml:space="preserve"> байна.</w:t>
      </w:r>
      <w:r w:rsidR="00C12EF3">
        <w:rPr>
          <w:rFonts w:ascii="Times New Roman" w:hAnsi="Times New Roman" w:cs="Times New Roman"/>
        </w:rPr>
        <w:t xml:space="preserve"> </w:t>
      </w:r>
      <w:r w:rsidR="00BF701C">
        <w:rPr>
          <w:rFonts w:ascii="Times New Roman" w:hAnsi="Times New Roman" w:cs="Times New Roman"/>
          <w:lang w:val="mn-MN"/>
        </w:rPr>
        <w:t>Дуудлага худалдаагаар а</w:t>
      </w:r>
      <w:r w:rsidR="00C12EF3">
        <w:rPr>
          <w:rFonts w:ascii="Times New Roman" w:hAnsi="Times New Roman" w:cs="Times New Roman"/>
          <w:lang w:val="mn-MN"/>
        </w:rPr>
        <w:t xml:space="preserve">рилжсан нүүрсний үнийн өсөлтийн </w:t>
      </w:r>
      <w:r w:rsidR="00EA0BFD">
        <w:rPr>
          <w:rFonts w:ascii="Times New Roman" w:hAnsi="Times New Roman" w:cs="Times New Roman"/>
          <w:lang w:val="mn-MN"/>
        </w:rPr>
        <w:t xml:space="preserve">дундаж </w:t>
      </w:r>
      <w:r w:rsidR="00EA0BFD" w:rsidRPr="00E33207">
        <w:rPr>
          <w:rFonts w:ascii="Times New Roman" w:hAnsi="Times New Roman" w:cs="Times New Roman"/>
        </w:rPr>
        <w:t xml:space="preserve">8.5 </w:t>
      </w:r>
      <w:r w:rsidR="00C12EF3">
        <w:rPr>
          <w:rFonts w:ascii="Times New Roman" w:hAnsi="Times New Roman" w:cs="Times New Roman"/>
          <w:lang w:val="mn-MN"/>
        </w:rPr>
        <w:t>хувь байна.</w:t>
      </w:r>
      <w:r w:rsidR="007F46F9">
        <w:rPr>
          <w:rFonts w:ascii="Times New Roman" w:hAnsi="Times New Roman" w:cs="Times New Roman"/>
          <w:lang w:val="mn-MN"/>
        </w:rPr>
        <w:t xml:space="preserve"> </w:t>
      </w:r>
      <w:r w:rsidR="007F46F9">
        <w:rPr>
          <w:rFonts w:ascii="Times New Roman" w:hAnsi="Times New Roman" w:cs="Times New Roman"/>
        </w:rPr>
        <w:t xml:space="preserve">2023 </w:t>
      </w:r>
      <w:r w:rsidR="007F46F9">
        <w:rPr>
          <w:rFonts w:ascii="Times New Roman" w:hAnsi="Times New Roman" w:cs="Times New Roman"/>
          <w:lang w:val="mn-MN"/>
        </w:rPr>
        <w:t xml:space="preserve">онд </w:t>
      </w:r>
      <w:bookmarkStart w:id="2" w:name="_Hlk157071124"/>
      <w:r w:rsidR="007F46F9">
        <w:rPr>
          <w:rFonts w:ascii="Times New Roman" w:hAnsi="Times New Roman" w:cs="Times New Roman"/>
          <w:lang w:val="mn-MN"/>
        </w:rPr>
        <w:t xml:space="preserve">худалдагч компаниуд дуудлага арилжаагаар арилжигдсан </w:t>
      </w:r>
      <w:bookmarkEnd w:id="2"/>
      <w:r w:rsidR="007F46F9">
        <w:rPr>
          <w:rFonts w:ascii="Times New Roman" w:hAnsi="Times New Roman" w:cs="Times New Roman"/>
          <w:lang w:val="mn-MN"/>
        </w:rPr>
        <w:t xml:space="preserve">нүүрсний үнийн өсөлтөөс нийт </w:t>
      </w:r>
      <w:r w:rsidR="007F46F9" w:rsidRPr="00EB103C">
        <w:rPr>
          <w:rFonts w:ascii="Times New Roman" w:hAnsi="Times New Roman" w:cs="Times New Roman"/>
          <w:lang w:val="mn-MN"/>
        </w:rPr>
        <w:t>5</w:t>
      </w:r>
      <w:r w:rsidR="007F46F9">
        <w:rPr>
          <w:rFonts w:ascii="Times New Roman" w:hAnsi="Times New Roman" w:cs="Times New Roman"/>
          <w:lang w:val="mn-MN"/>
        </w:rPr>
        <w:t>23.66</w:t>
      </w:r>
      <w:r w:rsidR="007F46F9" w:rsidRPr="00EB103C">
        <w:rPr>
          <w:rFonts w:ascii="Times New Roman" w:hAnsi="Times New Roman" w:cs="Times New Roman"/>
          <w:lang w:val="mn-MN"/>
        </w:rPr>
        <w:t xml:space="preserve"> </w:t>
      </w:r>
      <w:r w:rsidR="007F46F9">
        <w:rPr>
          <w:rFonts w:ascii="Times New Roman" w:hAnsi="Times New Roman" w:cs="Times New Roman"/>
          <w:lang w:val="mn-MN"/>
        </w:rPr>
        <w:t>тэрбум төгрөгийн нэмэлт орлого олсон байна.</w:t>
      </w:r>
      <w:r w:rsidR="00D26763">
        <w:rPr>
          <w:rFonts w:ascii="Times New Roman" w:hAnsi="Times New Roman" w:cs="Times New Roman"/>
          <w:lang w:val="mn-MN"/>
        </w:rPr>
        <w:t xml:space="preserve"> </w:t>
      </w:r>
      <w:proofErr w:type="spellStart"/>
      <w:r w:rsidR="00511683" w:rsidRPr="008F157A">
        <w:rPr>
          <w:rFonts w:ascii="Times New Roman" w:eastAsia="Times New Roman" w:hAnsi="Times New Roman" w:cs="Times New Roman"/>
        </w:rPr>
        <w:t>Та</w:t>
      </w:r>
      <w:r w:rsidR="00511683" w:rsidRPr="008F157A">
        <w:rPr>
          <w:rFonts w:ascii="Times New Roman" w:eastAsia="Times New Roman" w:hAnsi="Times New Roman" w:cs="Times New Roman"/>
          <w:spacing w:val="-1"/>
        </w:rPr>
        <w:t>й</w:t>
      </w:r>
      <w:r w:rsidR="00511683" w:rsidRPr="008F157A">
        <w:rPr>
          <w:rFonts w:ascii="Times New Roman" w:eastAsia="Times New Roman" w:hAnsi="Times New Roman" w:cs="Times New Roman"/>
        </w:rPr>
        <w:t>лант</w:t>
      </w:r>
      <w:proofErr w:type="spellEnd"/>
      <w:r w:rsidR="00511683" w:rsidRPr="008F157A">
        <w:rPr>
          <w:rFonts w:ascii="Times New Roman" w:eastAsia="Times New Roman" w:hAnsi="Times New Roman" w:cs="Times New Roman"/>
          <w:spacing w:val="-10"/>
        </w:rPr>
        <w:t xml:space="preserve"> </w:t>
      </w:r>
      <w:proofErr w:type="spellStart"/>
      <w:r w:rsidR="00511683" w:rsidRPr="008F157A">
        <w:rPr>
          <w:rFonts w:ascii="Times New Roman" w:eastAsia="Times New Roman" w:hAnsi="Times New Roman" w:cs="Times New Roman"/>
          <w:spacing w:val="-2"/>
        </w:rPr>
        <w:t>х</w:t>
      </w:r>
      <w:r w:rsidR="00511683" w:rsidRPr="008F157A">
        <w:rPr>
          <w:rFonts w:ascii="Times New Roman" w:eastAsia="Times New Roman" w:hAnsi="Times New Roman" w:cs="Times New Roman"/>
        </w:rPr>
        <w:t>уга</w:t>
      </w:r>
      <w:r w:rsidR="00511683" w:rsidRPr="008F157A">
        <w:rPr>
          <w:rFonts w:ascii="Times New Roman" w:eastAsia="Times New Roman" w:hAnsi="Times New Roman" w:cs="Times New Roman"/>
          <w:spacing w:val="-3"/>
        </w:rPr>
        <w:t>ц</w:t>
      </w:r>
      <w:r w:rsidR="00511683" w:rsidRPr="008F157A">
        <w:rPr>
          <w:rFonts w:ascii="Times New Roman" w:eastAsia="Times New Roman" w:hAnsi="Times New Roman" w:cs="Times New Roman"/>
        </w:rPr>
        <w:t>аанд</w:t>
      </w:r>
      <w:proofErr w:type="spellEnd"/>
      <w:r w:rsidR="00511683" w:rsidRPr="008F157A">
        <w:rPr>
          <w:rFonts w:ascii="Times New Roman" w:eastAsia="Times New Roman" w:hAnsi="Times New Roman" w:cs="Times New Roman"/>
          <w:spacing w:val="-12"/>
        </w:rPr>
        <w:t xml:space="preserve"> </w:t>
      </w:r>
      <w:r w:rsidR="00B873C3">
        <w:rPr>
          <w:rFonts w:ascii="Times New Roman" w:eastAsia="Times New Roman" w:hAnsi="Times New Roman" w:cs="Times New Roman"/>
          <w:spacing w:val="-12"/>
          <w:lang w:val="mn-MN"/>
        </w:rPr>
        <w:t xml:space="preserve">1 удаагийн </w:t>
      </w:r>
      <w:r w:rsidR="00947087">
        <w:rPr>
          <w:rFonts w:ascii="Times New Roman" w:eastAsia="Times New Roman" w:hAnsi="Times New Roman" w:cs="Times New Roman"/>
          <w:spacing w:val="-12"/>
          <w:lang w:val="mn-MN"/>
        </w:rPr>
        <w:t xml:space="preserve">нүүрсний </w:t>
      </w:r>
      <w:r w:rsidR="00B873C3">
        <w:rPr>
          <w:rFonts w:ascii="Times New Roman" w:eastAsia="Times New Roman" w:hAnsi="Times New Roman" w:cs="Times New Roman"/>
          <w:spacing w:val="-12"/>
          <w:lang w:val="mn-MN"/>
        </w:rPr>
        <w:t xml:space="preserve">арилжаагаар </w:t>
      </w:r>
      <w:proofErr w:type="spellStart"/>
      <w:r w:rsidR="00511683" w:rsidRPr="008F157A">
        <w:rPr>
          <w:rFonts w:ascii="Times New Roman" w:eastAsia="Times New Roman" w:hAnsi="Times New Roman" w:cs="Times New Roman"/>
        </w:rPr>
        <w:t>дунд</w:t>
      </w:r>
      <w:r w:rsidR="00511683" w:rsidRPr="008F157A">
        <w:rPr>
          <w:rFonts w:ascii="Times New Roman" w:eastAsia="Times New Roman" w:hAnsi="Times New Roman" w:cs="Times New Roman"/>
          <w:spacing w:val="-1"/>
        </w:rPr>
        <w:t>ж</w:t>
      </w:r>
      <w:r w:rsidR="00511683" w:rsidRPr="008F157A">
        <w:rPr>
          <w:rFonts w:ascii="Times New Roman" w:eastAsia="Times New Roman" w:hAnsi="Times New Roman" w:cs="Times New Roman"/>
        </w:rPr>
        <w:t>аар</w:t>
      </w:r>
      <w:proofErr w:type="spellEnd"/>
      <w:r w:rsidR="00511683" w:rsidRPr="008F157A">
        <w:rPr>
          <w:rFonts w:ascii="Times New Roman" w:eastAsia="Times New Roman" w:hAnsi="Times New Roman" w:cs="Times New Roman"/>
          <w:spacing w:val="-11"/>
        </w:rPr>
        <w:t xml:space="preserve"> </w:t>
      </w:r>
      <w:r w:rsidR="00B873C3" w:rsidRPr="00B873C3">
        <w:rPr>
          <w:rFonts w:ascii="Times New Roman" w:eastAsia="Times New Roman" w:hAnsi="Times New Roman" w:cs="Times New Roman"/>
        </w:rPr>
        <w:t xml:space="preserve">73.2 </w:t>
      </w:r>
      <w:r w:rsidR="00B873C3" w:rsidRPr="00B873C3">
        <w:rPr>
          <w:rFonts w:ascii="Times New Roman" w:eastAsia="Times New Roman" w:hAnsi="Times New Roman" w:cs="Times New Roman"/>
          <w:lang w:val="mn-MN"/>
        </w:rPr>
        <w:t>мянган</w:t>
      </w:r>
      <w:r w:rsidR="00511683" w:rsidRPr="00B873C3">
        <w:rPr>
          <w:rFonts w:ascii="Times New Roman" w:eastAsia="Times New Roman" w:hAnsi="Times New Roman" w:cs="Times New Roman"/>
          <w:lang w:val="mn-MN"/>
        </w:rPr>
        <w:t xml:space="preserve"> </w:t>
      </w:r>
      <w:r w:rsidR="00511683" w:rsidRPr="008F157A">
        <w:rPr>
          <w:rFonts w:ascii="Times New Roman" w:eastAsia="Times New Roman" w:hAnsi="Times New Roman" w:cs="Times New Roman"/>
          <w:lang w:val="mn-MN"/>
        </w:rPr>
        <w:t>тонн нүүрсийг</w:t>
      </w:r>
      <w:r w:rsidR="00511683" w:rsidRPr="008F157A">
        <w:rPr>
          <w:rFonts w:ascii="Times New Roman" w:eastAsia="Times New Roman" w:hAnsi="Times New Roman" w:cs="Times New Roman"/>
          <w:spacing w:val="-9"/>
          <w:lang w:val="mn-MN"/>
        </w:rPr>
        <w:t xml:space="preserve"> </w:t>
      </w:r>
      <w:r w:rsidR="00B873C3" w:rsidRPr="00B873C3">
        <w:rPr>
          <w:rFonts w:ascii="Times New Roman" w:eastAsia="Times New Roman" w:hAnsi="Times New Roman" w:cs="Times New Roman"/>
          <w:spacing w:val="-9"/>
          <w:lang w:val="mn-MN"/>
        </w:rPr>
        <w:t>36.0</w:t>
      </w:r>
      <w:r w:rsidR="00511683" w:rsidRPr="00B873C3">
        <w:rPr>
          <w:rFonts w:ascii="Times New Roman" w:eastAsia="Times New Roman" w:hAnsi="Times New Roman" w:cs="Times New Roman"/>
          <w:spacing w:val="-12"/>
        </w:rPr>
        <w:t xml:space="preserve"> </w:t>
      </w:r>
      <w:proofErr w:type="spellStart"/>
      <w:r w:rsidR="00511683" w:rsidRPr="008F157A">
        <w:rPr>
          <w:rFonts w:ascii="Times New Roman" w:eastAsia="Times New Roman" w:hAnsi="Times New Roman" w:cs="Times New Roman"/>
        </w:rPr>
        <w:t>т</w:t>
      </w:r>
      <w:r w:rsidR="00511683" w:rsidRPr="008F157A">
        <w:rPr>
          <w:rFonts w:ascii="Times New Roman" w:eastAsia="Times New Roman" w:hAnsi="Times New Roman" w:cs="Times New Roman"/>
          <w:spacing w:val="1"/>
        </w:rPr>
        <w:t>э</w:t>
      </w:r>
      <w:r w:rsidR="00511683" w:rsidRPr="008F157A">
        <w:rPr>
          <w:rFonts w:ascii="Times New Roman" w:eastAsia="Times New Roman" w:hAnsi="Times New Roman" w:cs="Times New Roman"/>
          <w:spacing w:val="-2"/>
        </w:rPr>
        <w:t>р</w:t>
      </w:r>
      <w:r w:rsidR="00511683" w:rsidRPr="008F157A">
        <w:rPr>
          <w:rFonts w:ascii="Times New Roman" w:eastAsia="Times New Roman" w:hAnsi="Times New Roman" w:cs="Times New Roman"/>
        </w:rPr>
        <w:t>бум</w:t>
      </w:r>
      <w:proofErr w:type="spellEnd"/>
      <w:r w:rsidR="00511683" w:rsidRPr="008F157A">
        <w:rPr>
          <w:rFonts w:ascii="Times New Roman" w:eastAsia="Times New Roman" w:hAnsi="Times New Roman" w:cs="Times New Roman"/>
          <w:spacing w:val="-10"/>
        </w:rPr>
        <w:t xml:space="preserve"> </w:t>
      </w:r>
      <w:proofErr w:type="spellStart"/>
      <w:r w:rsidR="00511683" w:rsidRPr="008F157A">
        <w:rPr>
          <w:rFonts w:ascii="Times New Roman" w:eastAsia="Times New Roman" w:hAnsi="Times New Roman" w:cs="Times New Roman"/>
        </w:rPr>
        <w:t>т</w:t>
      </w:r>
      <w:r w:rsidR="00511683" w:rsidRPr="008F157A">
        <w:rPr>
          <w:rFonts w:ascii="Times New Roman" w:eastAsia="Times New Roman" w:hAnsi="Times New Roman" w:cs="Times New Roman"/>
          <w:spacing w:val="-3"/>
        </w:rPr>
        <w:t>ө</w:t>
      </w:r>
      <w:r w:rsidR="00511683" w:rsidRPr="008F157A">
        <w:rPr>
          <w:rFonts w:ascii="Times New Roman" w:eastAsia="Times New Roman" w:hAnsi="Times New Roman" w:cs="Times New Roman"/>
        </w:rPr>
        <w:t>грөгө</w:t>
      </w:r>
      <w:r w:rsidR="00511683" w:rsidRPr="008F157A">
        <w:rPr>
          <w:rFonts w:ascii="Times New Roman" w:eastAsia="Times New Roman" w:hAnsi="Times New Roman" w:cs="Times New Roman"/>
          <w:spacing w:val="-2"/>
        </w:rPr>
        <w:t>ө</w:t>
      </w:r>
      <w:r w:rsidR="00511683" w:rsidRPr="008F157A">
        <w:rPr>
          <w:rFonts w:ascii="Times New Roman" w:eastAsia="Times New Roman" w:hAnsi="Times New Roman" w:cs="Times New Roman"/>
        </w:rPr>
        <w:t>р</w:t>
      </w:r>
      <w:proofErr w:type="spellEnd"/>
      <w:r w:rsidR="00511683" w:rsidRPr="008F157A">
        <w:rPr>
          <w:rFonts w:ascii="Times New Roman" w:eastAsia="Times New Roman" w:hAnsi="Times New Roman" w:cs="Times New Roman"/>
          <w:spacing w:val="-9"/>
        </w:rPr>
        <w:t xml:space="preserve"> </w:t>
      </w:r>
      <w:proofErr w:type="spellStart"/>
      <w:r w:rsidR="00511683" w:rsidRPr="008F157A">
        <w:rPr>
          <w:rFonts w:ascii="Times New Roman" w:eastAsia="Times New Roman" w:hAnsi="Times New Roman" w:cs="Times New Roman"/>
          <w:spacing w:val="-2"/>
        </w:rPr>
        <w:t>а</w:t>
      </w:r>
      <w:r w:rsidR="00511683" w:rsidRPr="008F157A">
        <w:rPr>
          <w:rFonts w:ascii="Times New Roman" w:eastAsia="Times New Roman" w:hAnsi="Times New Roman" w:cs="Times New Roman"/>
        </w:rPr>
        <w:t>ри</w:t>
      </w:r>
      <w:r w:rsidR="00511683" w:rsidRPr="008F157A">
        <w:rPr>
          <w:rFonts w:ascii="Times New Roman" w:eastAsia="Times New Roman" w:hAnsi="Times New Roman" w:cs="Times New Roman"/>
          <w:spacing w:val="-3"/>
        </w:rPr>
        <w:t>л</w:t>
      </w:r>
      <w:r w:rsidR="00511683" w:rsidRPr="008F157A">
        <w:rPr>
          <w:rFonts w:ascii="Times New Roman" w:eastAsia="Times New Roman" w:hAnsi="Times New Roman" w:cs="Times New Roman"/>
          <w:spacing w:val="1"/>
        </w:rPr>
        <w:t>ж</w:t>
      </w:r>
      <w:r w:rsidR="00511683" w:rsidRPr="008F157A">
        <w:rPr>
          <w:rFonts w:ascii="Times New Roman" w:eastAsia="Times New Roman" w:hAnsi="Times New Roman" w:cs="Times New Roman"/>
        </w:rPr>
        <w:t>сан</w:t>
      </w:r>
      <w:proofErr w:type="spellEnd"/>
      <w:r w:rsidR="00511683" w:rsidRPr="008F157A">
        <w:rPr>
          <w:rFonts w:ascii="Times New Roman" w:eastAsia="Times New Roman" w:hAnsi="Times New Roman" w:cs="Times New Roman"/>
          <w:spacing w:val="-12"/>
        </w:rPr>
        <w:t xml:space="preserve"> </w:t>
      </w:r>
      <w:proofErr w:type="spellStart"/>
      <w:r w:rsidR="00511683" w:rsidRPr="008F157A">
        <w:rPr>
          <w:rFonts w:ascii="Times New Roman" w:eastAsia="Times New Roman" w:hAnsi="Times New Roman" w:cs="Times New Roman"/>
        </w:rPr>
        <w:t>б</w:t>
      </w:r>
      <w:r w:rsidR="00511683" w:rsidRPr="008F157A">
        <w:rPr>
          <w:rFonts w:ascii="Times New Roman" w:eastAsia="Times New Roman" w:hAnsi="Times New Roman" w:cs="Times New Roman"/>
          <w:spacing w:val="1"/>
        </w:rPr>
        <w:t>а</w:t>
      </w:r>
      <w:r w:rsidR="00511683" w:rsidRPr="008F157A">
        <w:rPr>
          <w:rFonts w:ascii="Times New Roman" w:eastAsia="Times New Roman" w:hAnsi="Times New Roman" w:cs="Times New Roman"/>
        </w:rPr>
        <w:t>й</w:t>
      </w:r>
      <w:r w:rsidR="00511683" w:rsidRPr="008F157A">
        <w:rPr>
          <w:rFonts w:ascii="Times New Roman" w:eastAsia="Times New Roman" w:hAnsi="Times New Roman" w:cs="Times New Roman"/>
          <w:spacing w:val="-4"/>
        </w:rPr>
        <w:t>н</w:t>
      </w:r>
      <w:r w:rsidR="00511683" w:rsidRPr="008F157A">
        <w:rPr>
          <w:rFonts w:ascii="Times New Roman" w:eastAsia="Times New Roman" w:hAnsi="Times New Roman" w:cs="Times New Roman"/>
        </w:rPr>
        <w:t>а</w:t>
      </w:r>
      <w:proofErr w:type="spellEnd"/>
      <w:r w:rsidR="00511683" w:rsidRPr="008F157A">
        <w:rPr>
          <w:rFonts w:ascii="Times New Roman" w:eastAsia="Times New Roman" w:hAnsi="Times New Roman" w:cs="Times New Roman"/>
        </w:rPr>
        <w:t>.</w:t>
      </w:r>
      <w:r w:rsidR="00511683">
        <w:rPr>
          <w:rFonts w:ascii="Times New Roman" w:eastAsia="Times New Roman" w:hAnsi="Times New Roman" w:cs="Times New Roman"/>
        </w:rPr>
        <w:t xml:space="preserve"> </w:t>
      </w:r>
      <w:r w:rsidR="00511683" w:rsidRPr="008F157A">
        <w:rPr>
          <w:rFonts w:ascii="Times New Roman" w:eastAsia="Times New Roman" w:hAnsi="Times New Roman" w:cs="Times New Roman"/>
          <w:lang w:val="mn-MN"/>
        </w:rPr>
        <w:t xml:space="preserve"> </w:t>
      </w:r>
    </w:p>
    <w:p w14:paraId="19DCA30F" w14:textId="77777777" w:rsidR="00511683" w:rsidRDefault="00511683" w:rsidP="00511683">
      <w:pPr>
        <w:spacing w:after="0"/>
        <w:ind w:left="100" w:right="60" w:firstLine="620"/>
        <w:jc w:val="both"/>
        <w:rPr>
          <w:rFonts w:ascii="Times New Roman" w:eastAsia="Times New Roman" w:hAnsi="Times New Roman" w:cs="Times New Roman"/>
          <w:lang w:val="mn-MN"/>
        </w:rPr>
      </w:pPr>
    </w:p>
    <w:p w14:paraId="610FDF9B" w14:textId="40683EE8" w:rsidR="000D39BC" w:rsidRPr="00C12EF3" w:rsidRDefault="000D39BC" w:rsidP="008A0710">
      <w:pPr>
        <w:spacing w:after="0"/>
        <w:ind w:left="100" w:right="60" w:firstLine="620"/>
        <w:jc w:val="both"/>
        <w:rPr>
          <w:rFonts w:ascii="Times New Roman" w:hAnsi="Times New Roman" w:cs="Times New Roman"/>
          <w:lang w:val="mn-MN"/>
        </w:rPr>
      </w:pPr>
    </w:p>
    <w:p w14:paraId="73FB5B52" w14:textId="77777777" w:rsidR="007523F0" w:rsidRDefault="007523F0" w:rsidP="00D26763">
      <w:pPr>
        <w:spacing w:after="0"/>
        <w:ind w:right="60" w:firstLine="100"/>
        <w:jc w:val="both"/>
        <w:rPr>
          <w:rFonts w:ascii="Times New Roman" w:hAnsi="Times New Roman" w:cs="Times New Roman"/>
          <w:color w:val="FF0000"/>
          <w:lang w:val="mn-MN"/>
        </w:rPr>
      </w:pPr>
    </w:p>
    <w:p w14:paraId="37AE68E4" w14:textId="77777777" w:rsidR="007523F0" w:rsidRDefault="007523F0" w:rsidP="001203F9">
      <w:pPr>
        <w:spacing w:after="0"/>
        <w:ind w:right="60"/>
        <w:jc w:val="both"/>
        <w:rPr>
          <w:rFonts w:ascii="Times New Roman" w:hAnsi="Times New Roman" w:cs="Times New Roman"/>
          <w:color w:val="FF0000"/>
          <w:lang w:val="mn-MN"/>
        </w:rPr>
      </w:pPr>
    </w:p>
    <w:p w14:paraId="0870AEF6" w14:textId="77777777" w:rsidR="007523F0" w:rsidRDefault="007523F0" w:rsidP="00D26763">
      <w:pPr>
        <w:spacing w:after="0"/>
        <w:ind w:right="60" w:firstLine="100"/>
        <w:jc w:val="both"/>
        <w:rPr>
          <w:rFonts w:ascii="Times New Roman" w:hAnsi="Times New Roman" w:cs="Times New Roman"/>
          <w:color w:val="FF0000"/>
          <w:lang w:val="mn-MN"/>
        </w:rPr>
      </w:pPr>
    </w:p>
    <w:p w14:paraId="477AA94E" w14:textId="77777777" w:rsidR="007523F0" w:rsidRDefault="007523F0" w:rsidP="00B10753">
      <w:pPr>
        <w:spacing w:after="0"/>
        <w:ind w:right="60"/>
        <w:jc w:val="both"/>
        <w:rPr>
          <w:rFonts w:ascii="Times New Roman" w:hAnsi="Times New Roman" w:cs="Times New Roman"/>
          <w:color w:val="FF0000"/>
          <w:lang w:val="mn-MN"/>
        </w:rPr>
      </w:pPr>
    </w:p>
    <w:p w14:paraId="62AFDFFF" w14:textId="244DD4E8" w:rsidR="0071227D" w:rsidRPr="004D0AAF" w:rsidRDefault="0071227D" w:rsidP="00D26763">
      <w:pPr>
        <w:spacing w:after="0"/>
        <w:ind w:right="60" w:firstLine="100"/>
        <w:jc w:val="both"/>
        <w:rPr>
          <w:rFonts w:ascii="Times New Roman" w:hAnsi="Times New Roman" w:cs="Times New Roman"/>
          <w:i/>
          <w:iCs/>
          <w:color w:val="1F3864" w:themeColor="accent1" w:themeShade="80"/>
          <w:sz w:val="16"/>
          <w:szCs w:val="16"/>
          <w:lang w:val="mn-MN"/>
        </w:rPr>
      </w:pPr>
      <w:r w:rsidRPr="0071227D">
        <w:rPr>
          <w:rFonts w:ascii="Times New Roman" w:hAnsi="Times New Roman" w:cs="Times New Roman"/>
          <w:i/>
          <w:iCs/>
          <w:color w:val="1F3864" w:themeColor="accent1" w:themeShade="80"/>
          <w:sz w:val="16"/>
          <w:szCs w:val="16"/>
          <w:lang w:val="mn-MN"/>
        </w:rPr>
        <w:t>Хүснэгт1. 2023 он</w:t>
      </w:r>
      <w:r w:rsidR="004D0AAF">
        <w:rPr>
          <w:rFonts w:ascii="Times New Roman" w:hAnsi="Times New Roman" w:cs="Times New Roman"/>
          <w:i/>
          <w:iCs/>
          <w:color w:val="1F3864" w:themeColor="accent1" w:themeShade="80"/>
          <w:sz w:val="16"/>
          <w:szCs w:val="16"/>
          <w:lang w:val="mn-MN"/>
        </w:rPr>
        <w:t>д арилжигдсан нүүрсний хэмжээ</w:t>
      </w:r>
      <w:r w:rsidR="001203F9">
        <w:rPr>
          <w:rFonts w:ascii="Times New Roman" w:hAnsi="Times New Roman" w:cs="Times New Roman"/>
          <w:i/>
          <w:iCs/>
          <w:color w:val="1F3864" w:themeColor="accent1" w:themeShade="80"/>
          <w:sz w:val="16"/>
          <w:szCs w:val="16"/>
          <w:lang w:val="mn-MN"/>
        </w:rPr>
        <w:t>.</w:t>
      </w:r>
    </w:p>
    <w:tbl>
      <w:tblPr>
        <w:tblStyle w:val="GridTable1Light-Accent1"/>
        <w:tblW w:w="10627" w:type="dxa"/>
        <w:tblLayout w:type="fixed"/>
        <w:tblLook w:val="04A0" w:firstRow="1" w:lastRow="0" w:firstColumn="1" w:lastColumn="0" w:noHBand="0" w:noVBand="1"/>
      </w:tblPr>
      <w:tblGrid>
        <w:gridCol w:w="421"/>
        <w:gridCol w:w="5670"/>
        <w:gridCol w:w="2126"/>
        <w:gridCol w:w="2410"/>
      </w:tblGrid>
      <w:tr w:rsidR="009E6E7B" w14:paraId="47A0E778" w14:textId="77777777" w:rsidTr="00924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D9E2F3" w:themeFill="accent1" w:themeFillTint="33"/>
          </w:tcPr>
          <w:p w14:paraId="242631A4" w14:textId="017044F9" w:rsidR="007523F0" w:rsidRPr="005A1B4A" w:rsidRDefault="007523F0" w:rsidP="009E6E7B">
            <w:pPr>
              <w:ind w:right="60"/>
              <w:jc w:val="both"/>
              <w:rPr>
                <w:rFonts w:ascii="Times New Roman" w:hAnsi="Times New Roman" w:cs="Times New Roman"/>
                <w:lang w:val="mn-MN"/>
              </w:rPr>
            </w:pPr>
            <w:r w:rsidRPr="005A1B4A">
              <w:rPr>
                <w:rFonts w:ascii="Times New Roman" w:hAnsi="Times New Roman" w:cs="Times New Roman"/>
                <w:lang w:val="mn-MN"/>
              </w:rPr>
              <w:t>№</w:t>
            </w:r>
          </w:p>
        </w:tc>
        <w:tc>
          <w:tcPr>
            <w:tcW w:w="5670" w:type="dxa"/>
            <w:shd w:val="clear" w:color="auto" w:fill="D9E2F3" w:themeFill="accent1" w:themeFillTint="33"/>
          </w:tcPr>
          <w:p w14:paraId="684B346C" w14:textId="748C3749" w:rsidR="007523F0" w:rsidRPr="005A1B4A" w:rsidRDefault="007523F0" w:rsidP="009E6E7B">
            <w:pPr>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5A1B4A">
              <w:rPr>
                <w:rFonts w:ascii="Times New Roman" w:hAnsi="Times New Roman" w:cs="Times New Roman"/>
                <w:lang w:val="mn-MN"/>
              </w:rPr>
              <w:t>Бүтээгдэхүүний төрөл</w:t>
            </w:r>
          </w:p>
        </w:tc>
        <w:tc>
          <w:tcPr>
            <w:tcW w:w="2126" w:type="dxa"/>
            <w:shd w:val="clear" w:color="auto" w:fill="D9E2F3" w:themeFill="accent1" w:themeFillTint="33"/>
          </w:tcPr>
          <w:p w14:paraId="2826F6E4" w14:textId="590C9FD8" w:rsidR="007523F0" w:rsidRPr="005A1B4A" w:rsidRDefault="007523F0" w:rsidP="009E6E7B">
            <w:pPr>
              <w:ind w:right="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5A1B4A">
              <w:rPr>
                <w:rFonts w:ascii="Times New Roman" w:hAnsi="Times New Roman" w:cs="Times New Roman"/>
                <w:lang w:val="mn-MN"/>
              </w:rPr>
              <w:t>Хэмжээ /тонн/</w:t>
            </w:r>
          </w:p>
        </w:tc>
        <w:tc>
          <w:tcPr>
            <w:tcW w:w="2410" w:type="dxa"/>
            <w:shd w:val="clear" w:color="auto" w:fill="D9E2F3" w:themeFill="accent1" w:themeFillTint="33"/>
          </w:tcPr>
          <w:p w14:paraId="79DA52A1" w14:textId="34C55917" w:rsidR="007523F0" w:rsidRPr="005A1B4A" w:rsidRDefault="00F1247C" w:rsidP="006A3DC4">
            <w:pPr>
              <w:ind w:right="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5A1B4A">
              <w:rPr>
                <w:rFonts w:ascii="Times New Roman" w:hAnsi="Times New Roman" w:cs="Times New Roman"/>
                <w:lang w:val="mn-MN"/>
              </w:rPr>
              <w:t xml:space="preserve">Үнийн дүн </w:t>
            </w:r>
            <w:r w:rsidR="007523F0" w:rsidRPr="005A1B4A">
              <w:rPr>
                <w:rFonts w:ascii="Times New Roman" w:hAnsi="Times New Roman" w:cs="Times New Roman"/>
                <w:lang w:val="mn-MN"/>
              </w:rPr>
              <w:t>/төгрөг/</w:t>
            </w:r>
          </w:p>
        </w:tc>
      </w:tr>
      <w:tr w:rsidR="009E6E7B" w14:paraId="29427231"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02DCBF8A" w14:textId="02B388D0"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1</w:t>
            </w:r>
          </w:p>
        </w:tc>
        <w:tc>
          <w:tcPr>
            <w:tcW w:w="5670" w:type="dxa"/>
          </w:tcPr>
          <w:p w14:paraId="69ACB58C" w14:textId="67750770"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spacing w:val="1"/>
                <w:lang w:val="mn-MN"/>
              </w:rPr>
              <w:t>Баяжуулсан коксжих нүүрс</w:t>
            </w:r>
          </w:p>
        </w:tc>
        <w:tc>
          <w:tcPr>
            <w:tcW w:w="2126" w:type="dxa"/>
          </w:tcPr>
          <w:p w14:paraId="21BDA058" w14:textId="48509F86"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1,472,000</w:t>
            </w:r>
          </w:p>
        </w:tc>
        <w:tc>
          <w:tcPr>
            <w:tcW w:w="2410" w:type="dxa"/>
          </w:tcPr>
          <w:p w14:paraId="02BD0A58" w14:textId="641EEE0A"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spacing w:val="-2"/>
                <w:lang w:val="mn-MN"/>
              </w:rPr>
              <w:t>949</w:t>
            </w:r>
            <w:r w:rsidR="00F64216">
              <w:rPr>
                <w:rFonts w:ascii="Times New Roman" w:eastAsia="Times New Roman" w:hAnsi="Times New Roman" w:cs="Times New Roman"/>
                <w:spacing w:val="-2"/>
                <w:lang w:val="mn-MN"/>
              </w:rPr>
              <w:t>,969,925,760</w:t>
            </w:r>
          </w:p>
        </w:tc>
      </w:tr>
      <w:tr w:rsidR="009E6E7B" w14:paraId="43918499"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75237952" w14:textId="3C945054"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2</w:t>
            </w:r>
          </w:p>
        </w:tc>
        <w:tc>
          <w:tcPr>
            <w:tcW w:w="5670" w:type="dxa"/>
          </w:tcPr>
          <w:p w14:paraId="6CF2467B" w14:textId="28E9305F"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Дэгдэмхий бодис дунд, коксжих нүүрс</w:t>
            </w:r>
          </w:p>
        </w:tc>
        <w:tc>
          <w:tcPr>
            <w:tcW w:w="2126" w:type="dxa"/>
          </w:tcPr>
          <w:p w14:paraId="2586DB17" w14:textId="46D400A6" w:rsidR="007523F0" w:rsidRPr="007523F0" w:rsidRDefault="00426913"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Pr>
                <w:rFonts w:ascii="Times New Roman" w:eastAsia="Times New Roman" w:hAnsi="Times New Roman" w:cs="Times New Roman"/>
                <w:lang w:val="mn-MN"/>
              </w:rPr>
              <w:t>9,036,800</w:t>
            </w:r>
          </w:p>
        </w:tc>
        <w:tc>
          <w:tcPr>
            <w:tcW w:w="2410" w:type="dxa"/>
          </w:tcPr>
          <w:p w14:paraId="418FC551" w14:textId="718F52DA" w:rsidR="007523F0" w:rsidRPr="007523F0" w:rsidRDefault="00F64216"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Pr>
                <w:rFonts w:ascii="Times New Roman" w:eastAsia="Times New Roman" w:hAnsi="Times New Roman" w:cs="Times New Roman"/>
                <w:spacing w:val="6"/>
                <w:lang w:val="mn-MN"/>
              </w:rPr>
              <w:t>4,</w:t>
            </w:r>
            <w:r w:rsidR="00426913">
              <w:rPr>
                <w:rFonts w:ascii="Times New Roman" w:eastAsia="Times New Roman" w:hAnsi="Times New Roman" w:cs="Times New Roman"/>
                <w:spacing w:val="6"/>
                <w:lang w:val="mn-MN"/>
              </w:rPr>
              <w:t>939,918,375,770</w:t>
            </w:r>
          </w:p>
        </w:tc>
      </w:tr>
      <w:tr w:rsidR="009E6E7B" w14:paraId="4A46E307"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4098C90F" w14:textId="7E39C03B"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3</w:t>
            </w:r>
          </w:p>
        </w:tc>
        <w:tc>
          <w:tcPr>
            <w:tcW w:w="5670" w:type="dxa"/>
          </w:tcPr>
          <w:p w14:paraId="4066185F" w14:textId="450D9C3E"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Баяжуулсан сул коксжих нүүрс</w:t>
            </w:r>
          </w:p>
        </w:tc>
        <w:tc>
          <w:tcPr>
            <w:tcW w:w="2126" w:type="dxa"/>
          </w:tcPr>
          <w:p w14:paraId="27C1B8C6" w14:textId="57D2537D"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140,800</w:t>
            </w:r>
          </w:p>
        </w:tc>
        <w:tc>
          <w:tcPr>
            <w:tcW w:w="2410" w:type="dxa"/>
          </w:tcPr>
          <w:p w14:paraId="4DDA499D" w14:textId="278D4F2F" w:rsidR="00F64216" w:rsidRPr="00F64216" w:rsidRDefault="007523F0" w:rsidP="00F64216">
            <w:pPr>
              <w:ind w:righ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2"/>
                <w:lang w:val="mn-MN"/>
              </w:rPr>
            </w:pPr>
            <w:r w:rsidRPr="007523F0">
              <w:rPr>
                <w:rFonts w:ascii="Times New Roman" w:eastAsia="Times New Roman" w:hAnsi="Times New Roman" w:cs="Times New Roman"/>
                <w:spacing w:val="-2"/>
                <w:lang w:val="mn-MN"/>
              </w:rPr>
              <w:t>68</w:t>
            </w:r>
            <w:r w:rsidR="00F64216">
              <w:rPr>
                <w:rFonts w:ascii="Times New Roman" w:eastAsia="Times New Roman" w:hAnsi="Times New Roman" w:cs="Times New Roman"/>
                <w:spacing w:val="-2"/>
                <w:lang w:val="mn-MN"/>
              </w:rPr>
              <w:t>,146,995,200</w:t>
            </w:r>
          </w:p>
        </w:tc>
      </w:tr>
      <w:tr w:rsidR="009E6E7B" w14:paraId="10E16DF1"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1C8058F7" w14:textId="0890A221"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4</w:t>
            </w:r>
          </w:p>
        </w:tc>
        <w:tc>
          <w:tcPr>
            <w:tcW w:w="5670" w:type="dxa"/>
          </w:tcPr>
          <w:p w14:paraId="02E1B1E8" w14:textId="3F43847A"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spacing w:val="-1"/>
                <w:lang w:val="mn-MN"/>
              </w:rPr>
              <w:t>1/3 коксжих нүүрс</w:t>
            </w:r>
          </w:p>
        </w:tc>
        <w:tc>
          <w:tcPr>
            <w:tcW w:w="2126" w:type="dxa"/>
          </w:tcPr>
          <w:p w14:paraId="2772D146" w14:textId="075F9C23"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spacing w:val="-1"/>
                <w:lang w:val="mn-MN"/>
              </w:rPr>
              <w:t>2,937,600</w:t>
            </w:r>
          </w:p>
        </w:tc>
        <w:tc>
          <w:tcPr>
            <w:tcW w:w="2410" w:type="dxa"/>
          </w:tcPr>
          <w:p w14:paraId="7AD3228D" w14:textId="1F7AA04B"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w:t>
            </w:r>
            <w:r w:rsidR="00F64216">
              <w:rPr>
                <w:rFonts w:ascii="Times New Roman" w:eastAsia="Times New Roman" w:hAnsi="Times New Roman" w:cs="Times New Roman"/>
                <w:lang w:val="mn-MN"/>
              </w:rPr>
              <w:t>,074,880,606,950</w:t>
            </w:r>
          </w:p>
        </w:tc>
      </w:tr>
      <w:tr w:rsidR="009E6E7B" w14:paraId="448F1120"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33436DA0" w14:textId="2FA887DB"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5</w:t>
            </w:r>
          </w:p>
        </w:tc>
        <w:tc>
          <w:tcPr>
            <w:tcW w:w="5670" w:type="dxa"/>
          </w:tcPr>
          <w:p w14:paraId="3CD15A02" w14:textId="1A4E6064"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Баяжуулсан дунд зэрэг үнстэй хагас хатуу коксжих нүүрс</w:t>
            </w:r>
          </w:p>
        </w:tc>
        <w:tc>
          <w:tcPr>
            <w:tcW w:w="2126" w:type="dxa"/>
          </w:tcPr>
          <w:p w14:paraId="4676D21F" w14:textId="1F92EF1F"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153,600</w:t>
            </w:r>
          </w:p>
        </w:tc>
        <w:tc>
          <w:tcPr>
            <w:tcW w:w="2410" w:type="dxa"/>
          </w:tcPr>
          <w:p w14:paraId="5767CF78" w14:textId="6975312D"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36</w:t>
            </w:r>
            <w:r w:rsidR="003D3869">
              <w:rPr>
                <w:rFonts w:ascii="Times New Roman" w:eastAsia="Times New Roman" w:hAnsi="Times New Roman" w:cs="Times New Roman"/>
                <w:lang w:val="mn-MN"/>
              </w:rPr>
              <w:t>,572,042,240</w:t>
            </w:r>
          </w:p>
        </w:tc>
      </w:tr>
      <w:tr w:rsidR="009E6E7B" w14:paraId="18C098EB"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3F90CCFF" w14:textId="6F70BB6A"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6</w:t>
            </w:r>
          </w:p>
        </w:tc>
        <w:tc>
          <w:tcPr>
            <w:tcW w:w="5670" w:type="dxa"/>
          </w:tcPr>
          <w:p w14:paraId="31151A58" w14:textId="7B0AD196"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Эрчим хүчний нүүрс</w:t>
            </w:r>
          </w:p>
        </w:tc>
        <w:tc>
          <w:tcPr>
            <w:tcW w:w="2126" w:type="dxa"/>
          </w:tcPr>
          <w:p w14:paraId="11A0754B" w14:textId="7402F9A9"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1,075,200</w:t>
            </w:r>
          </w:p>
        </w:tc>
        <w:tc>
          <w:tcPr>
            <w:tcW w:w="2410" w:type="dxa"/>
          </w:tcPr>
          <w:p w14:paraId="53C0711F" w14:textId="4A7ACE30"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238</w:t>
            </w:r>
            <w:r w:rsidR="003D3869">
              <w:rPr>
                <w:rFonts w:ascii="Times New Roman" w:eastAsia="Times New Roman" w:hAnsi="Times New Roman" w:cs="Times New Roman"/>
                <w:lang w:val="mn-MN"/>
              </w:rPr>
              <w:t>,561,609,338</w:t>
            </w:r>
          </w:p>
        </w:tc>
      </w:tr>
      <w:tr w:rsidR="009E6E7B" w14:paraId="5E7B7213" w14:textId="77777777" w:rsidTr="005A1B4A">
        <w:tc>
          <w:tcPr>
            <w:cnfStyle w:val="001000000000" w:firstRow="0" w:lastRow="0" w:firstColumn="1" w:lastColumn="0" w:oddVBand="0" w:evenVBand="0" w:oddHBand="0" w:evenHBand="0" w:firstRowFirstColumn="0" w:firstRowLastColumn="0" w:lastRowFirstColumn="0" w:lastRowLastColumn="0"/>
            <w:tcW w:w="421" w:type="dxa"/>
          </w:tcPr>
          <w:p w14:paraId="2FB71D01" w14:textId="52D2D010" w:rsidR="007523F0" w:rsidRPr="007523F0" w:rsidRDefault="007523F0" w:rsidP="009E6E7B">
            <w:pPr>
              <w:ind w:right="60"/>
              <w:jc w:val="center"/>
              <w:rPr>
                <w:rFonts w:ascii="Times New Roman" w:hAnsi="Times New Roman" w:cs="Times New Roman"/>
                <w:lang w:val="mn-MN"/>
              </w:rPr>
            </w:pPr>
            <w:r w:rsidRPr="007523F0">
              <w:rPr>
                <w:rFonts w:ascii="Times New Roman" w:hAnsi="Times New Roman" w:cs="Times New Roman"/>
                <w:lang w:val="mn-MN"/>
              </w:rPr>
              <w:t>7</w:t>
            </w:r>
          </w:p>
        </w:tc>
        <w:tc>
          <w:tcPr>
            <w:tcW w:w="5670" w:type="dxa"/>
          </w:tcPr>
          <w:p w14:paraId="1EE07A98" w14:textId="3B19559B" w:rsidR="007523F0" w:rsidRPr="007523F0" w:rsidRDefault="007523F0" w:rsidP="009E6E7B">
            <w:pPr>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Дэгдэмхий бодис дундаас их хийн нүүрс</w:t>
            </w:r>
          </w:p>
        </w:tc>
        <w:tc>
          <w:tcPr>
            <w:tcW w:w="2126" w:type="dxa"/>
          </w:tcPr>
          <w:p w14:paraId="24CBDAC8" w14:textId="608503D0"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108,800</w:t>
            </w:r>
          </w:p>
        </w:tc>
        <w:tc>
          <w:tcPr>
            <w:tcW w:w="2410" w:type="dxa"/>
          </w:tcPr>
          <w:p w14:paraId="3B950206" w14:textId="5AADCCEC"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35</w:t>
            </w:r>
            <w:r w:rsidR="003D3869">
              <w:rPr>
                <w:rFonts w:ascii="Times New Roman" w:eastAsia="Times New Roman" w:hAnsi="Times New Roman" w:cs="Times New Roman"/>
                <w:lang w:val="mn-MN"/>
              </w:rPr>
              <w:t>,793,374,771</w:t>
            </w:r>
          </w:p>
        </w:tc>
      </w:tr>
      <w:tr w:rsidR="005A1B4A" w14:paraId="2EDB0996" w14:textId="09751352" w:rsidTr="005A1B4A">
        <w:trPr>
          <w:trHeight w:val="247"/>
        </w:trPr>
        <w:tc>
          <w:tcPr>
            <w:cnfStyle w:val="001000000000" w:firstRow="0" w:lastRow="0" w:firstColumn="1" w:lastColumn="0" w:oddVBand="0" w:evenVBand="0" w:oddHBand="0" w:evenHBand="0" w:firstRowFirstColumn="0" w:firstRowLastColumn="0" w:lastRowFirstColumn="0" w:lastRowLastColumn="0"/>
            <w:tcW w:w="421" w:type="dxa"/>
          </w:tcPr>
          <w:p w14:paraId="162E7ED6" w14:textId="7905C8AA" w:rsidR="00F64216" w:rsidRPr="007523F0" w:rsidRDefault="007523F0" w:rsidP="009E6E7B">
            <w:pPr>
              <w:ind w:right="60"/>
              <w:rPr>
                <w:rFonts w:ascii="Times New Roman" w:hAnsi="Times New Roman" w:cs="Times New Roman"/>
                <w:lang w:val="mn-MN"/>
              </w:rPr>
            </w:pPr>
            <w:r>
              <w:rPr>
                <w:rFonts w:ascii="Times New Roman" w:hAnsi="Times New Roman" w:cs="Times New Roman"/>
                <w:lang w:val="mn-MN"/>
              </w:rPr>
              <w:t>8</w:t>
            </w:r>
          </w:p>
        </w:tc>
        <w:tc>
          <w:tcPr>
            <w:tcW w:w="5670" w:type="dxa"/>
          </w:tcPr>
          <w:p w14:paraId="2FB369E0" w14:textId="4B21B09D" w:rsidR="009E6E7B" w:rsidRPr="009E6E7B" w:rsidRDefault="007523F0" w:rsidP="009E6E7B">
            <w:pPr>
              <w:ind w:right="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mn-MN"/>
              </w:rPr>
            </w:pPr>
            <w:r w:rsidRPr="007523F0">
              <w:rPr>
                <w:rFonts w:ascii="Times New Roman" w:eastAsia="Times New Roman" w:hAnsi="Times New Roman" w:cs="Times New Roman"/>
                <w:lang w:val="mn-MN"/>
              </w:rPr>
              <w:t>Чийг багатай хүрэн нүүр</w:t>
            </w:r>
            <w:r w:rsidR="009E6E7B">
              <w:rPr>
                <w:rFonts w:ascii="Times New Roman" w:eastAsia="Times New Roman" w:hAnsi="Times New Roman" w:cs="Times New Roman"/>
                <w:lang w:val="mn-MN"/>
              </w:rPr>
              <w:t>c</w:t>
            </w:r>
          </w:p>
        </w:tc>
        <w:tc>
          <w:tcPr>
            <w:tcW w:w="2126" w:type="dxa"/>
          </w:tcPr>
          <w:p w14:paraId="33AD27A0" w14:textId="2796D4A4"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12,800</w:t>
            </w:r>
          </w:p>
        </w:tc>
        <w:tc>
          <w:tcPr>
            <w:tcW w:w="2410" w:type="dxa"/>
          </w:tcPr>
          <w:p w14:paraId="6B72F246" w14:textId="086BA015" w:rsidR="007523F0" w:rsidRPr="007523F0" w:rsidRDefault="007523F0" w:rsidP="006A3DC4">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mn-MN"/>
              </w:rPr>
            </w:pPr>
            <w:r w:rsidRPr="007523F0">
              <w:rPr>
                <w:rFonts w:ascii="Times New Roman" w:eastAsia="Times New Roman" w:hAnsi="Times New Roman" w:cs="Times New Roman"/>
                <w:lang w:val="mn-MN"/>
              </w:rPr>
              <w:t>1</w:t>
            </w:r>
            <w:r w:rsidR="003D3869">
              <w:rPr>
                <w:rFonts w:ascii="Times New Roman" w:eastAsia="Times New Roman" w:hAnsi="Times New Roman" w:cs="Times New Roman"/>
                <w:lang w:val="mn-MN"/>
              </w:rPr>
              <w:t>,350,018,560</w:t>
            </w:r>
          </w:p>
        </w:tc>
      </w:tr>
      <w:tr w:rsidR="009E6E7B" w:rsidRPr="00844263" w14:paraId="050A5C22" w14:textId="059EAF34" w:rsidTr="005A1B4A">
        <w:trPr>
          <w:trHeight w:val="278"/>
        </w:trPr>
        <w:tc>
          <w:tcPr>
            <w:cnfStyle w:val="001000000000" w:firstRow="0" w:lastRow="0" w:firstColumn="1" w:lastColumn="0" w:oddVBand="0" w:evenVBand="0" w:oddHBand="0" w:evenHBand="0" w:firstRowFirstColumn="0" w:firstRowLastColumn="0" w:lastRowFirstColumn="0" w:lastRowLastColumn="0"/>
            <w:tcW w:w="6091" w:type="dxa"/>
            <w:gridSpan w:val="2"/>
          </w:tcPr>
          <w:p w14:paraId="5D4A1E15" w14:textId="17367B67" w:rsidR="009E6E7B" w:rsidRPr="005A1B4A" w:rsidRDefault="009E6E7B" w:rsidP="009E6E7B">
            <w:pPr>
              <w:ind w:left="95" w:right="60" w:firstLine="620"/>
              <w:jc w:val="both"/>
              <w:rPr>
                <w:rFonts w:ascii="Times New Roman" w:eastAsia="Times New Roman" w:hAnsi="Times New Roman" w:cs="Times New Roman"/>
                <w:lang w:val="mn-MN"/>
              </w:rPr>
            </w:pPr>
            <w:r w:rsidRPr="005A1B4A">
              <w:rPr>
                <w:rFonts w:ascii="Times New Roman" w:eastAsia="Times New Roman" w:hAnsi="Times New Roman" w:cs="Times New Roman"/>
                <w:lang w:val="mn-MN"/>
              </w:rPr>
              <w:t>Нийт</w:t>
            </w:r>
          </w:p>
        </w:tc>
        <w:tc>
          <w:tcPr>
            <w:tcW w:w="2126" w:type="dxa"/>
          </w:tcPr>
          <w:p w14:paraId="5905134C" w14:textId="0CA9BCBC" w:rsidR="009E6E7B" w:rsidRPr="009E6E7B" w:rsidRDefault="009E6E7B" w:rsidP="006A3DC4">
            <w:pPr>
              <w:tabs>
                <w:tab w:val="left" w:pos="1238"/>
              </w:tabs>
              <w:ind w:left="95" w:right="60" w:firstLine="6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mn-MN"/>
              </w:rPr>
            </w:pPr>
            <w:r w:rsidRPr="009E6E7B">
              <w:rPr>
                <w:rFonts w:ascii="Times New Roman" w:eastAsia="Times New Roman" w:hAnsi="Times New Roman" w:cs="Times New Roman"/>
                <w:b/>
                <w:bCs/>
                <w:lang w:val="mn-MN"/>
              </w:rPr>
              <w:t>14,937,600</w:t>
            </w:r>
          </w:p>
        </w:tc>
        <w:tc>
          <w:tcPr>
            <w:tcW w:w="2410" w:type="dxa"/>
          </w:tcPr>
          <w:p w14:paraId="33B401B5" w14:textId="506DE129" w:rsidR="009E6E7B" w:rsidRPr="00844263" w:rsidRDefault="00844263" w:rsidP="0084426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844263">
              <w:rPr>
                <w:rFonts w:ascii="Times New Roman" w:hAnsi="Times New Roman" w:cs="Times New Roman"/>
                <w:b/>
                <w:bCs/>
                <w:color w:val="000000"/>
              </w:rPr>
              <w:t>7,345,192,948,589</w:t>
            </w:r>
          </w:p>
        </w:tc>
      </w:tr>
    </w:tbl>
    <w:p w14:paraId="3EC5EE14" w14:textId="77777777" w:rsidR="00511683" w:rsidRDefault="00511683" w:rsidP="00D50758">
      <w:pPr>
        <w:tabs>
          <w:tab w:val="left" w:pos="1657"/>
        </w:tabs>
        <w:rPr>
          <w:rFonts w:ascii="Times New Roman" w:eastAsia="Times New Roman" w:hAnsi="Times New Roman" w:cs="Times New Roman"/>
          <w:lang w:val="mn-MN"/>
        </w:rPr>
      </w:pPr>
      <w:r>
        <w:rPr>
          <w:rFonts w:ascii="Times New Roman" w:eastAsia="Times New Roman" w:hAnsi="Times New Roman" w:cs="Times New Roman"/>
          <w:lang w:val="mn-MN"/>
        </w:rPr>
        <w:t xml:space="preserve"> </w:t>
      </w:r>
    </w:p>
    <w:p w14:paraId="305409A1" w14:textId="58ED9CF3" w:rsidR="00D50758" w:rsidRDefault="009F2E8C" w:rsidP="001203F9">
      <w:pPr>
        <w:spacing w:after="0"/>
        <w:ind w:left="100" w:right="60" w:firstLine="620"/>
        <w:jc w:val="both"/>
        <w:rPr>
          <w:rFonts w:ascii="Times New Roman" w:eastAsia="Times New Roman" w:hAnsi="Times New Roman" w:cs="Times New Roman"/>
          <w:lang w:val="mn-MN"/>
        </w:rPr>
      </w:pPr>
      <w:r>
        <w:rPr>
          <w:rFonts w:ascii="Times New Roman" w:hAnsi="Times New Roman" w:cs="Times New Roman"/>
          <w:lang w:val="mn-MN"/>
        </w:rPr>
        <w:t xml:space="preserve">Нийт нүүрсний арилжааны үнийн дүнгийн 67.25 хувь буюу 4 их наяд 939.92 тэрбум төгрөгийг Дэгдэмхий бодис дунд коксжих нүүрсний арилжаа, 14.63 хувь буюу 1 их наяд 74.88 тэрбум төгрөгийг 1/3 коксжих нүүрсний арилжаа, 12.93 хувь буюу 949.97 тэрбум төгрөгийг Баяжуулсан коксжих нүүрсний арилжаа, 3.25 хувь буюу 238.56 тэрбум төгрөгийг Эрчим хүчний нүүрсний арилжаа, 0.93 хувь буюу 68.15 тэрбум төгрөгийг Баяжуулсан сул коксжих нүүрсний арилжаа, 0.5 хувь буюу 36.57 тэрбум төгрөгийг Баяжуулсан дунд зэрэг үнстэй хагас хатуу коксжих нүүрсний арилжаа, 0.5 хувь буюу 35.79 тэрбум төгрөгийг </w:t>
      </w:r>
      <w:r>
        <w:rPr>
          <w:rFonts w:ascii="Times New Roman" w:eastAsia="Times New Roman" w:hAnsi="Times New Roman" w:cs="Times New Roman"/>
          <w:lang w:val="mn-MN"/>
        </w:rPr>
        <w:t xml:space="preserve">Дэгдэмхий бодис дундаас их хийн нүүрсний арилжаа, 0.02 хувь буюу 1.35 тэрбум төгрөгийн Чийг багатай хүрэн нүүрсний арилжаа тус тус эзэлж байна. </w:t>
      </w:r>
    </w:p>
    <w:p w14:paraId="30DF540B" w14:textId="77777777" w:rsidR="009F2E8C" w:rsidRPr="00D50758" w:rsidRDefault="009F2E8C" w:rsidP="00D50758">
      <w:pPr>
        <w:tabs>
          <w:tab w:val="left" w:pos="1657"/>
        </w:tabs>
        <w:rPr>
          <w:rFonts w:ascii="Times New Roman" w:eastAsia="Times New Roman" w:hAnsi="Times New Roman" w:cs="Times New Roman"/>
          <w:lang w:val="mn-MN"/>
        </w:rPr>
      </w:pPr>
    </w:p>
    <w:p w14:paraId="1A702DAA" w14:textId="5D51FBE7" w:rsidR="00952DB6" w:rsidRPr="00964D5F" w:rsidRDefault="00952DB6" w:rsidP="008A0710">
      <w:pPr>
        <w:spacing w:after="0"/>
        <w:ind w:left="100" w:right="60" w:firstLine="620"/>
        <w:jc w:val="both"/>
        <w:rPr>
          <w:rFonts w:ascii="Times New Roman" w:eastAsia="Times New Roman" w:hAnsi="Times New Roman" w:cs="Times New Roman"/>
          <w:i/>
          <w:iCs/>
          <w:color w:val="2F5496" w:themeColor="accent1" w:themeShade="BF"/>
          <w:sz w:val="16"/>
          <w:szCs w:val="16"/>
          <w:lang w:val="mn-MN"/>
        </w:rPr>
      </w:pPr>
      <w:r w:rsidRPr="00964D5F">
        <w:rPr>
          <w:rFonts w:ascii="Times New Roman" w:eastAsia="Times New Roman" w:hAnsi="Times New Roman" w:cs="Times New Roman"/>
          <w:noProof/>
          <w:color w:val="FF0000"/>
          <w:spacing w:val="-1"/>
          <w:sz w:val="18"/>
          <w:szCs w:val="18"/>
        </w:rPr>
        <w:drawing>
          <wp:anchor distT="0" distB="0" distL="114300" distR="114300" simplePos="0" relativeHeight="251659264" behindDoc="0" locked="0" layoutInCell="1" allowOverlap="1" wp14:anchorId="33A58CF0" wp14:editId="0A1A2685">
            <wp:simplePos x="0" y="0"/>
            <wp:positionH relativeFrom="margin">
              <wp:align>left</wp:align>
            </wp:positionH>
            <wp:positionV relativeFrom="paragraph">
              <wp:posOffset>123190</wp:posOffset>
            </wp:positionV>
            <wp:extent cx="6439535" cy="3641090"/>
            <wp:effectExtent l="0" t="0" r="18415" b="16510"/>
            <wp:wrapThrough wrapText="bothSides">
              <wp:wrapPolygon edited="0">
                <wp:start x="0" y="0"/>
                <wp:lineTo x="0" y="21585"/>
                <wp:lineTo x="21598" y="21585"/>
                <wp:lineTo x="21598" y="0"/>
                <wp:lineTo x="0" y="0"/>
              </wp:wrapPolygon>
            </wp:wrapThrough>
            <wp:docPr id="19318715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964D5F">
        <w:rPr>
          <w:rFonts w:ascii="Times New Roman" w:eastAsia="Times New Roman" w:hAnsi="Times New Roman" w:cs="Times New Roman"/>
          <w:i/>
          <w:iCs/>
          <w:color w:val="2F5496" w:themeColor="accent1" w:themeShade="BF"/>
          <w:sz w:val="16"/>
          <w:szCs w:val="16"/>
          <w:lang w:val="mn-MN"/>
        </w:rPr>
        <w:t xml:space="preserve">График2. </w:t>
      </w:r>
      <w:bookmarkStart w:id="3" w:name="_Hlk156904842"/>
      <w:r w:rsidR="00964D5F" w:rsidRPr="00964D5F">
        <w:rPr>
          <w:rFonts w:ascii="Times New Roman" w:eastAsia="Times New Roman" w:hAnsi="Times New Roman" w:cs="Times New Roman"/>
          <w:i/>
          <w:iCs/>
          <w:color w:val="2F5496" w:themeColor="accent1" w:themeShade="BF"/>
          <w:sz w:val="16"/>
          <w:szCs w:val="16"/>
          <w:lang w:val="mn-MN"/>
        </w:rPr>
        <w:t>Н</w:t>
      </w:r>
      <w:r w:rsidRPr="00964D5F">
        <w:rPr>
          <w:rFonts w:ascii="Times New Roman" w:eastAsia="Times New Roman" w:hAnsi="Times New Roman" w:cs="Times New Roman"/>
          <w:i/>
          <w:iCs/>
          <w:color w:val="2F5496" w:themeColor="accent1" w:themeShade="BF"/>
          <w:sz w:val="16"/>
          <w:szCs w:val="16"/>
          <w:lang w:val="mn-MN"/>
        </w:rPr>
        <w:t>ийт</w:t>
      </w:r>
      <w:r w:rsidR="00964D5F" w:rsidRPr="00964D5F">
        <w:rPr>
          <w:rFonts w:ascii="Times New Roman" w:eastAsia="Times New Roman" w:hAnsi="Times New Roman" w:cs="Times New Roman"/>
          <w:i/>
          <w:iCs/>
          <w:color w:val="2F5496" w:themeColor="accent1" w:themeShade="BF"/>
          <w:sz w:val="16"/>
          <w:szCs w:val="16"/>
          <w:lang w:val="mn-MN"/>
        </w:rPr>
        <w:t xml:space="preserve"> нүүрсний арилжааны</w:t>
      </w:r>
      <w:r w:rsidRPr="00964D5F">
        <w:rPr>
          <w:rFonts w:ascii="Times New Roman" w:eastAsia="Times New Roman" w:hAnsi="Times New Roman" w:cs="Times New Roman"/>
          <w:i/>
          <w:iCs/>
          <w:color w:val="2F5496" w:themeColor="accent1" w:themeShade="BF"/>
          <w:sz w:val="16"/>
          <w:szCs w:val="16"/>
          <w:lang w:val="mn-MN"/>
        </w:rPr>
        <w:t xml:space="preserve"> </w:t>
      </w:r>
      <w:r w:rsidR="00964D5F" w:rsidRPr="00964D5F">
        <w:rPr>
          <w:rFonts w:ascii="Times New Roman" w:eastAsia="Times New Roman" w:hAnsi="Times New Roman" w:cs="Times New Roman"/>
          <w:i/>
          <w:iCs/>
          <w:color w:val="2F5496" w:themeColor="accent1" w:themeShade="BF"/>
          <w:sz w:val="16"/>
          <w:szCs w:val="16"/>
          <w:lang w:val="mn-MN"/>
        </w:rPr>
        <w:t xml:space="preserve">үнийн дүнд </w:t>
      </w:r>
      <w:r w:rsidRPr="00964D5F">
        <w:rPr>
          <w:rFonts w:ascii="Times New Roman" w:eastAsia="Times New Roman" w:hAnsi="Times New Roman" w:cs="Times New Roman"/>
          <w:i/>
          <w:iCs/>
          <w:color w:val="2F5496" w:themeColor="accent1" w:themeShade="BF"/>
          <w:sz w:val="16"/>
          <w:szCs w:val="16"/>
          <w:lang w:val="mn-MN"/>
        </w:rPr>
        <w:t>эзлэх хувь</w:t>
      </w:r>
      <w:r w:rsidR="00C443C0">
        <w:rPr>
          <w:rFonts w:ascii="Times New Roman" w:eastAsia="Times New Roman" w:hAnsi="Times New Roman" w:cs="Times New Roman"/>
          <w:i/>
          <w:iCs/>
          <w:color w:val="2F5496" w:themeColor="accent1" w:themeShade="BF"/>
          <w:sz w:val="16"/>
          <w:szCs w:val="16"/>
          <w:lang w:val="mn-MN"/>
        </w:rPr>
        <w:t xml:space="preserve"> /бүтээгдэхүүний төрлөөр/.</w:t>
      </w:r>
    </w:p>
    <w:bookmarkEnd w:id="3"/>
    <w:p w14:paraId="0733A6B3"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76FFE71D"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376DED4F"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1D0BAA1C"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709D77B8"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750A0972"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6D777698"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7217BA04"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5021DBFC"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50412A6B"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339A8913" w14:textId="77777777" w:rsidR="004D5A5D" w:rsidRDefault="004D5A5D" w:rsidP="00FF12DA">
      <w:pPr>
        <w:spacing w:after="0"/>
        <w:ind w:right="60"/>
        <w:rPr>
          <w:rFonts w:ascii="Times New Roman" w:hAnsi="Times New Roman" w:cs="Times New Roman"/>
          <w:i/>
          <w:iCs/>
          <w:color w:val="1F3864" w:themeColor="accent1" w:themeShade="80"/>
          <w:sz w:val="16"/>
          <w:szCs w:val="16"/>
          <w:lang w:val="mn-MN"/>
        </w:rPr>
      </w:pPr>
    </w:p>
    <w:p w14:paraId="353322FC"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5F942A99"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0C0899E2"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6821BC3B" w14:textId="77777777" w:rsidR="004D5A5D" w:rsidRDefault="004D5A5D" w:rsidP="004D5A5D">
      <w:pPr>
        <w:spacing w:after="0"/>
        <w:ind w:left="100" w:right="60" w:firstLine="620"/>
        <w:jc w:val="both"/>
        <w:rPr>
          <w:rFonts w:ascii="Times New Roman" w:hAnsi="Times New Roman" w:cs="Times New Roman"/>
          <w:lang w:val="mn-MN"/>
        </w:rPr>
      </w:pPr>
    </w:p>
    <w:p w14:paraId="7A7D1B27" w14:textId="2C879311" w:rsidR="004D5A5D" w:rsidRPr="00F21749" w:rsidRDefault="004D5A5D" w:rsidP="004D5A5D">
      <w:pPr>
        <w:spacing w:after="0"/>
        <w:ind w:left="100" w:right="60" w:firstLine="620"/>
        <w:jc w:val="both"/>
        <w:rPr>
          <w:rFonts w:ascii="Times New Roman" w:eastAsia="Times New Roman" w:hAnsi="Times New Roman" w:cs="Times New Roman"/>
          <w:lang w:val="mn-MN"/>
        </w:rPr>
      </w:pPr>
      <w:r w:rsidRPr="00F21749">
        <w:rPr>
          <w:rFonts w:ascii="Times New Roman" w:hAnsi="Times New Roman" w:cs="Times New Roman"/>
          <w:lang w:val="mn-MN"/>
        </w:rPr>
        <w:t xml:space="preserve">Нүүрсний арилжааны нийт үнийн дүнгийн 59.45 хувь буюу 4 их наяд 366.36 тэрбум төгрөгийн  арилжааг </w:t>
      </w:r>
      <w:r>
        <w:rPr>
          <w:rFonts w:ascii="Times New Roman" w:hAnsi="Times New Roman" w:cs="Times New Roman"/>
          <w:lang w:val="mn-MN"/>
        </w:rPr>
        <w:t>“</w:t>
      </w:r>
      <w:r w:rsidRPr="00F21749">
        <w:rPr>
          <w:rFonts w:ascii="Times New Roman" w:hAnsi="Times New Roman" w:cs="Times New Roman"/>
          <w:lang w:val="mn-MN"/>
        </w:rPr>
        <w:t>Эрдэнэс таван толгой</w:t>
      </w:r>
      <w:r>
        <w:rPr>
          <w:rFonts w:ascii="Times New Roman" w:hAnsi="Times New Roman" w:cs="Times New Roman"/>
          <w:lang w:val="mn-MN"/>
        </w:rPr>
        <w:t>”</w:t>
      </w:r>
      <w:r w:rsidRPr="00F21749">
        <w:rPr>
          <w:rFonts w:ascii="Times New Roman" w:hAnsi="Times New Roman" w:cs="Times New Roman"/>
          <w:lang w:val="mn-MN"/>
        </w:rPr>
        <w:t xml:space="preserve"> ХК, 26.18 хувь буюу 1 их наяд 923.8 тэрбум төгрөгийн арилжааг </w:t>
      </w:r>
      <w:r>
        <w:rPr>
          <w:rFonts w:ascii="Times New Roman" w:hAnsi="Times New Roman" w:cs="Times New Roman"/>
          <w:lang w:val="mn-MN"/>
        </w:rPr>
        <w:t>“</w:t>
      </w:r>
      <w:r w:rsidRPr="00F21749">
        <w:rPr>
          <w:rFonts w:ascii="Times New Roman" w:hAnsi="Times New Roman" w:cs="Times New Roman"/>
          <w:lang w:val="mn-MN"/>
        </w:rPr>
        <w:t>Таван толгой</w:t>
      </w:r>
      <w:r>
        <w:rPr>
          <w:rFonts w:ascii="Times New Roman" w:hAnsi="Times New Roman" w:cs="Times New Roman"/>
          <w:lang w:val="mn-MN"/>
        </w:rPr>
        <w:t>”</w:t>
      </w:r>
      <w:r w:rsidRPr="00F21749">
        <w:rPr>
          <w:rFonts w:ascii="Times New Roman" w:hAnsi="Times New Roman" w:cs="Times New Roman"/>
          <w:lang w:val="mn-MN"/>
        </w:rPr>
        <w:t xml:space="preserve"> ХК, 13.43 хувь буюу 986.54 тэрбум төгрөгийн </w:t>
      </w:r>
      <w:r>
        <w:rPr>
          <w:rFonts w:ascii="Times New Roman" w:hAnsi="Times New Roman" w:cs="Times New Roman"/>
          <w:lang w:val="mn-MN"/>
        </w:rPr>
        <w:t>арилжааг “</w:t>
      </w:r>
      <w:r w:rsidRPr="00F21749">
        <w:rPr>
          <w:rFonts w:ascii="Times New Roman" w:hAnsi="Times New Roman" w:cs="Times New Roman"/>
          <w:lang w:val="mn-MN"/>
        </w:rPr>
        <w:t>Энержи ресурс</w:t>
      </w:r>
      <w:r>
        <w:rPr>
          <w:rFonts w:ascii="Times New Roman" w:hAnsi="Times New Roman" w:cs="Times New Roman"/>
          <w:lang w:val="mn-MN"/>
        </w:rPr>
        <w:t>”</w:t>
      </w:r>
      <w:r w:rsidRPr="00F21749">
        <w:rPr>
          <w:rFonts w:ascii="Times New Roman" w:hAnsi="Times New Roman" w:cs="Times New Roman"/>
          <w:lang w:val="mn-MN"/>
        </w:rPr>
        <w:t xml:space="preserve"> ХХК, 0.93 хувь буюу 68.15 тэрбум төгрөгийн арилжааг </w:t>
      </w:r>
      <w:r>
        <w:rPr>
          <w:rFonts w:ascii="Times New Roman" w:hAnsi="Times New Roman" w:cs="Times New Roman"/>
          <w:lang w:val="mn-MN"/>
        </w:rPr>
        <w:t>“</w:t>
      </w:r>
      <w:r w:rsidRPr="00F21749">
        <w:rPr>
          <w:rFonts w:ascii="Times New Roman" w:hAnsi="Times New Roman" w:cs="Times New Roman"/>
          <w:lang w:val="mn-MN"/>
        </w:rPr>
        <w:t>Хангад Эксплорэйшн</w:t>
      </w:r>
      <w:r>
        <w:rPr>
          <w:rFonts w:ascii="Times New Roman" w:hAnsi="Times New Roman" w:cs="Times New Roman"/>
          <w:lang w:val="mn-MN"/>
        </w:rPr>
        <w:t>”</w:t>
      </w:r>
      <w:r w:rsidRPr="00F21749">
        <w:rPr>
          <w:rFonts w:ascii="Times New Roman" w:hAnsi="Times New Roman" w:cs="Times New Roman"/>
          <w:lang w:val="mn-MN"/>
        </w:rPr>
        <w:t xml:space="preserve"> ХХК, 0.02 хувь буюу 1.35 тэрбум төгрөгийн арилжааг </w:t>
      </w:r>
      <w:r>
        <w:rPr>
          <w:rFonts w:ascii="Times New Roman" w:hAnsi="Times New Roman" w:cs="Times New Roman"/>
          <w:lang w:val="mn-MN"/>
        </w:rPr>
        <w:t>“</w:t>
      </w:r>
      <w:r w:rsidRPr="00F21749">
        <w:rPr>
          <w:rFonts w:ascii="Times New Roman" w:hAnsi="Times New Roman" w:cs="Times New Roman"/>
          <w:lang w:val="mn-MN"/>
        </w:rPr>
        <w:t>Андын элч</w:t>
      </w:r>
      <w:r>
        <w:rPr>
          <w:rFonts w:ascii="Times New Roman" w:hAnsi="Times New Roman" w:cs="Times New Roman"/>
          <w:lang w:val="mn-MN"/>
        </w:rPr>
        <w:t>”</w:t>
      </w:r>
      <w:r w:rsidRPr="00F21749">
        <w:rPr>
          <w:rFonts w:ascii="Times New Roman" w:hAnsi="Times New Roman" w:cs="Times New Roman"/>
          <w:lang w:val="mn-MN"/>
        </w:rPr>
        <w:t xml:space="preserve"> ХХК тус тус арилжаалсан</w:t>
      </w:r>
      <w:r>
        <w:rPr>
          <w:rFonts w:ascii="Times New Roman" w:hAnsi="Times New Roman" w:cs="Times New Roman"/>
          <w:lang w:val="mn-MN"/>
        </w:rPr>
        <w:t xml:space="preserve"> байна.</w:t>
      </w:r>
    </w:p>
    <w:p w14:paraId="5745ED91"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354043FA"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2FDA4B5B" w14:textId="77777777" w:rsidR="00FF12DA" w:rsidRDefault="00FF12DA" w:rsidP="00FF12DA">
      <w:pPr>
        <w:spacing w:after="0"/>
        <w:ind w:right="60"/>
        <w:rPr>
          <w:rFonts w:ascii="Times New Roman" w:hAnsi="Times New Roman" w:cs="Times New Roman"/>
          <w:i/>
          <w:iCs/>
          <w:color w:val="1F3864" w:themeColor="accent1" w:themeShade="80"/>
          <w:sz w:val="16"/>
          <w:szCs w:val="16"/>
          <w:lang w:val="mn-MN"/>
        </w:rPr>
      </w:pPr>
    </w:p>
    <w:p w14:paraId="48485574" w14:textId="496D9115" w:rsidR="00C443C0" w:rsidRPr="00964D5F" w:rsidRDefault="00FF12DA" w:rsidP="00C443C0">
      <w:pPr>
        <w:spacing w:after="0"/>
        <w:ind w:left="100" w:right="60" w:firstLine="620"/>
        <w:jc w:val="center"/>
        <w:rPr>
          <w:rFonts w:ascii="Times New Roman" w:eastAsia="Times New Roman" w:hAnsi="Times New Roman" w:cs="Times New Roman"/>
          <w:i/>
          <w:iCs/>
          <w:color w:val="2F5496" w:themeColor="accent1" w:themeShade="BF"/>
          <w:sz w:val="16"/>
          <w:szCs w:val="16"/>
          <w:lang w:val="mn-MN"/>
        </w:rPr>
      </w:pPr>
      <w:r w:rsidRPr="00FF12DA">
        <w:rPr>
          <w:rFonts w:ascii="Times New Roman" w:hAnsi="Times New Roman" w:cs="Times New Roman"/>
          <w:i/>
          <w:iCs/>
          <w:color w:val="1F3864" w:themeColor="accent1" w:themeShade="80"/>
          <w:sz w:val="16"/>
          <w:szCs w:val="16"/>
          <w:lang w:val="mn-MN"/>
        </w:rPr>
        <w:t>График3.</w:t>
      </w:r>
      <w:r w:rsidR="00C443C0" w:rsidRPr="00C443C0">
        <w:rPr>
          <w:rFonts w:ascii="Times New Roman" w:eastAsia="Times New Roman" w:hAnsi="Times New Roman" w:cs="Times New Roman"/>
          <w:i/>
          <w:iCs/>
          <w:color w:val="2F5496" w:themeColor="accent1" w:themeShade="BF"/>
          <w:sz w:val="16"/>
          <w:szCs w:val="16"/>
          <w:lang w:val="mn-MN"/>
        </w:rPr>
        <w:t xml:space="preserve"> </w:t>
      </w:r>
      <w:r w:rsidR="00C443C0" w:rsidRPr="00964D5F">
        <w:rPr>
          <w:rFonts w:ascii="Times New Roman" w:eastAsia="Times New Roman" w:hAnsi="Times New Roman" w:cs="Times New Roman"/>
          <w:i/>
          <w:iCs/>
          <w:color w:val="2F5496" w:themeColor="accent1" w:themeShade="BF"/>
          <w:sz w:val="16"/>
          <w:szCs w:val="16"/>
          <w:lang w:val="mn-MN"/>
        </w:rPr>
        <w:t>Нийт нүүрсний арилжааны үнийн дүнд эзлэх хувь</w:t>
      </w:r>
      <w:r w:rsidR="00C443C0">
        <w:rPr>
          <w:rFonts w:ascii="Times New Roman" w:eastAsia="Times New Roman" w:hAnsi="Times New Roman" w:cs="Times New Roman"/>
          <w:i/>
          <w:iCs/>
          <w:color w:val="2F5496" w:themeColor="accent1" w:themeShade="BF"/>
          <w:sz w:val="16"/>
          <w:szCs w:val="16"/>
          <w:lang w:val="mn-MN"/>
        </w:rPr>
        <w:t xml:space="preserve"> /худалдагч </w:t>
      </w:r>
      <w:r w:rsidR="004D0AAF">
        <w:rPr>
          <w:rFonts w:ascii="Times New Roman" w:eastAsia="Times New Roman" w:hAnsi="Times New Roman" w:cs="Times New Roman"/>
          <w:i/>
          <w:iCs/>
          <w:color w:val="2F5496" w:themeColor="accent1" w:themeShade="BF"/>
          <w:sz w:val="16"/>
          <w:szCs w:val="16"/>
          <w:lang w:val="mn-MN"/>
        </w:rPr>
        <w:t>компаниуд</w:t>
      </w:r>
      <w:r w:rsidR="00C443C0">
        <w:rPr>
          <w:rFonts w:ascii="Times New Roman" w:eastAsia="Times New Roman" w:hAnsi="Times New Roman" w:cs="Times New Roman"/>
          <w:i/>
          <w:iCs/>
          <w:color w:val="2F5496" w:themeColor="accent1" w:themeShade="BF"/>
          <w:sz w:val="16"/>
          <w:szCs w:val="16"/>
          <w:lang w:val="mn-MN"/>
        </w:rPr>
        <w:t>/.</w:t>
      </w:r>
    </w:p>
    <w:p w14:paraId="5E84A3AA" w14:textId="568A43C5" w:rsidR="00FF12DA" w:rsidRPr="00FF12DA" w:rsidRDefault="00C443C0" w:rsidP="00FF12DA">
      <w:pPr>
        <w:spacing w:after="0"/>
        <w:ind w:right="60"/>
        <w:jc w:val="center"/>
        <w:rPr>
          <w:rFonts w:ascii="Times New Roman" w:hAnsi="Times New Roman" w:cs="Times New Roman"/>
          <w:i/>
          <w:iCs/>
          <w:color w:val="1F3864" w:themeColor="accent1" w:themeShade="80"/>
          <w:sz w:val="16"/>
          <w:szCs w:val="16"/>
          <w:lang w:val="mn-MN"/>
        </w:rPr>
      </w:pPr>
      <w:r w:rsidRPr="00FF12DA">
        <w:rPr>
          <w:rFonts w:ascii="Times New Roman" w:eastAsia="Times New Roman" w:hAnsi="Times New Roman" w:cs="Times New Roman"/>
          <w:i/>
          <w:iCs/>
          <w:noProof/>
          <w:color w:val="1F3864" w:themeColor="accent1" w:themeShade="80"/>
          <w:sz w:val="16"/>
          <w:szCs w:val="16"/>
          <w:lang w:val="mn-MN"/>
        </w:rPr>
        <w:drawing>
          <wp:anchor distT="0" distB="0" distL="114300" distR="114300" simplePos="0" relativeHeight="251665408" behindDoc="1" locked="0" layoutInCell="1" allowOverlap="1" wp14:anchorId="0C999F8A" wp14:editId="568960D2">
            <wp:simplePos x="0" y="0"/>
            <wp:positionH relativeFrom="column">
              <wp:posOffset>1109345</wp:posOffset>
            </wp:positionH>
            <wp:positionV relativeFrom="paragraph">
              <wp:posOffset>38763</wp:posOffset>
            </wp:positionV>
            <wp:extent cx="4686300" cy="2851150"/>
            <wp:effectExtent l="0" t="0" r="0" b="6350"/>
            <wp:wrapTight wrapText="bothSides">
              <wp:wrapPolygon edited="0">
                <wp:start x="0" y="0"/>
                <wp:lineTo x="0" y="21504"/>
                <wp:lineTo x="21512" y="21504"/>
                <wp:lineTo x="21512" y="0"/>
                <wp:lineTo x="0" y="0"/>
              </wp:wrapPolygon>
            </wp:wrapTight>
            <wp:docPr id="17967418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9F948F0" w14:textId="0B79A029" w:rsidR="00FF12DA" w:rsidRDefault="00FF12DA" w:rsidP="0088320C">
      <w:pPr>
        <w:spacing w:after="0"/>
        <w:ind w:left="100" w:right="60" w:firstLine="620"/>
        <w:jc w:val="both"/>
        <w:rPr>
          <w:rFonts w:ascii="Times New Roman" w:hAnsi="Times New Roman" w:cs="Times New Roman"/>
          <w:color w:val="FF0000"/>
          <w:lang w:val="mn-MN"/>
        </w:rPr>
      </w:pPr>
    </w:p>
    <w:p w14:paraId="36405EB6" w14:textId="77777777" w:rsidR="00FF12DA" w:rsidRDefault="00FF12DA" w:rsidP="0088320C">
      <w:pPr>
        <w:spacing w:after="0"/>
        <w:ind w:left="100" w:right="60" w:firstLine="620"/>
        <w:jc w:val="both"/>
        <w:rPr>
          <w:rFonts w:ascii="Times New Roman" w:hAnsi="Times New Roman" w:cs="Times New Roman"/>
          <w:color w:val="FF0000"/>
          <w:lang w:val="mn-MN"/>
        </w:rPr>
      </w:pPr>
    </w:p>
    <w:p w14:paraId="29B6C310" w14:textId="77777777" w:rsidR="00FF12DA" w:rsidRDefault="00FF12DA" w:rsidP="0088320C">
      <w:pPr>
        <w:spacing w:after="0"/>
        <w:ind w:left="100" w:right="60" w:firstLine="620"/>
        <w:jc w:val="both"/>
        <w:rPr>
          <w:rFonts w:ascii="Times New Roman" w:hAnsi="Times New Roman" w:cs="Times New Roman"/>
          <w:color w:val="FF0000"/>
          <w:lang w:val="mn-MN"/>
        </w:rPr>
      </w:pPr>
    </w:p>
    <w:p w14:paraId="5AD6C080" w14:textId="77777777" w:rsidR="00FF12DA" w:rsidRDefault="00FF12DA" w:rsidP="0088320C">
      <w:pPr>
        <w:spacing w:after="0"/>
        <w:ind w:left="100" w:right="60" w:firstLine="620"/>
        <w:jc w:val="both"/>
        <w:rPr>
          <w:rFonts w:ascii="Times New Roman" w:hAnsi="Times New Roman" w:cs="Times New Roman"/>
          <w:color w:val="FF0000"/>
          <w:lang w:val="mn-MN"/>
        </w:rPr>
      </w:pPr>
    </w:p>
    <w:p w14:paraId="555502C2" w14:textId="77777777" w:rsidR="00FF12DA" w:rsidRDefault="00FF12DA" w:rsidP="0088320C">
      <w:pPr>
        <w:spacing w:after="0"/>
        <w:ind w:left="100" w:right="60" w:firstLine="620"/>
        <w:jc w:val="both"/>
        <w:rPr>
          <w:rFonts w:ascii="Times New Roman" w:hAnsi="Times New Roman" w:cs="Times New Roman"/>
          <w:color w:val="FF0000"/>
          <w:lang w:val="mn-MN"/>
        </w:rPr>
      </w:pPr>
    </w:p>
    <w:p w14:paraId="75D01DD9" w14:textId="77777777" w:rsidR="00FF12DA" w:rsidRDefault="00FF12DA" w:rsidP="0088320C">
      <w:pPr>
        <w:spacing w:after="0"/>
        <w:ind w:left="100" w:right="60" w:firstLine="620"/>
        <w:jc w:val="both"/>
        <w:rPr>
          <w:rFonts w:ascii="Times New Roman" w:hAnsi="Times New Roman" w:cs="Times New Roman"/>
          <w:color w:val="FF0000"/>
          <w:lang w:val="mn-MN"/>
        </w:rPr>
      </w:pPr>
    </w:p>
    <w:p w14:paraId="056FFDA8" w14:textId="77777777" w:rsidR="00FF12DA" w:rsidRDefault="00FF12DA" w:rsidP="0088320C">
      <w:pPr>
        <w:spacing w:after="0"/>
        <w:ind w:left="100" w:right="60" w:firstLine="620"/>
        <w:jc w:val="both"/>
        <w:rPr>
          <w:rFonts w:ascii="Times New Roman" w:hAnsi="Times New Roman" w:cs="Times New Roman"/>
          <w:color w:val="FF0000"/>
          <w:lang w:val="mn-MN"/>
        </w:rPr>
      </w:pPr>
    </w:p>
    <w:p w14:paraId="4F0418F0" w14:textId="77777777" w:rsidR="00FF12DA" w:rsidRDefault="00FF12DA" w:rsidP="0088320C">
      <w:pPr>
        <w:spacing w:after="0"/>
        <w:ind w:left="100" w:right="60" w:firstLine="620"/>
        <w:jc w:val="both"/>
        <w:rPr>
          <w:rFonts w:ascii="Times New Roman" w:hAnsi="Times New Roman" w:cs="Times New Roman"/>
          <w:color w:val="FF0000"/>
          <w:lang w:val="mn-MN"/>
        </w:rPr>
      </w:pPr>
    </w:p>
    <w:p w14:paraId="34373246" w14:textId="77777777" w:rsidR="00FF12DA" w:rsidRDefault="00FF12DA" w:rsidP="0088320C">
      <w:pPr>
        <w:spacing w:after="0"/>
        <w:ind w:left="100" w:right="60" w:firstLine="620"/>
        <w:jc w:val="both"/>
        <w:rPr>
          <w:rFonts w:ascii="Times New Roman" w:hAnsi="Times New Roman" w:cs="Times New Roman"/>
          <w:color w:val="FF0000"/>
          <w:lang w:val="mn-MN"/>
        </w:rPr>
      </w:pPr>
    </w:p>
    <w:p w14:paraId="76434B2B" w14:textId="77777777" w:rsidR="00FF12DA" w:rsidRPr="004D0AAF" w:rsidRDefault="00FF12DA" w:rsidP="0088320C">
      <w:pPr>
        <w:spacing w:after="0"/>
        <w:ind w:left="100" w:right="60" w:firstLine="620"/>
        <w:jc w:val="both"/>
        <w:rPr>
          <w:rFonts w:ascii="Times New Roman" w:hAnsi="Times New Roman" w:cs="Times New Roman"/>
          <w:color w:val="FF0000"/>
        </w:rPr>
      </w:pPr>
    </w:p>
    <w:p w14:paraId="4F578182" w14:textId="77777777" w:rsidR="00FF12DA" w:rsidRDefault="00FF12DA" w:rsidP="0088320C">
      <w:pPr>
        <w:spacing w:after="0"/>
        <w:ind w:left="100" w:right="60" w:firstLine="620"/>
        <w:jc w:val="both"/>
        <w:rPr>
          <w:rFonts w:ascii="Times New Roman" w:hAnsi="Times New Roman" w:cs="Times New Roman"/>
          <w:color w:val="FF0000"/>
          <w:lang w:val="mn-MN"/>
        </w:rPr>
      </w:pPr>
    </w:p>
    <w:p w14:paraId="6577BDB4" w14:textId="77777777" w:rsidR="00FF12DA" w:rsidRDefault="00FF12DA" w:rsidP="0088320C">
      <w:pPr>
        <w:spacing w:after="0"/>
        <w:ind w:left="100" w:right="60" w:firstLine="620"/>
        <w:jc w:val="both"/>
        <w:rPr>
          <w:rFonts w:ascii="Times New Roman" w:hAnsi="Times New Roman" w:cs="Times New Roman"/>
          <w:color w:val="FF0000"/>
          <w:lang w:val="mn-MN"/>
        </w:rPr>
      </w:pPr>
    </w:p>
    <w:p w14:paraId="77406B88" w14:textId="77777777" w:rsidR="00FF12DA" w:rsidRDefault="00FF12DA" w:rsidP="0088320C">
      <w:pPr>
        <w:spacing w:after="0"/>
        <w:ind w:left="100" w:right="60" w:firstLine="620"/>
        <w:jc w:val="both"/>
        <w:rPr>
          <w:rFonts w:ascii="Times New Roman" w:hAnsi="Times New Roman" w:cs="Times New Roman"/>
          <w:color w:val="FF0000"/>
          <w:lang w:val="mn-MN"/>
        </w:rPr>
      </w:pPr>
    </w:p>
    <w:p w14:paraId="481E3C41" w14:textId="77777777" w:rsidR="00FF12DA" w:rsidRDefault="00FF12DA" w:rsidP="0088320C">
      <w:pPr>
        <w:spacing w:after="0"/>
        <w:ind w:left="100" w:right="60" w:firstLine="620"/>
        <w:jc w:val="both"/>
        <w:rPr>
          <w:rFonts w:ascii="Times New Roman" w:hAnsi="Times New Roman" w:cs="Times New Roman"/>
          <w:color w:val="FF0000"/>
          <w:lang w:val="mn-MN"/>
        </w:rPr>
      </w:pPr>
    </w:p>
    <w:p w14:paraId="0591EA9D" w14:textId="77777777" w:rsidR="00FF12DA" w:rsidRPr="00C443C0" w:rsidRDefault="00FF12DA" w:rsidP="0088320C">
      <w:pPr>
        <w:spacing w:after="0"/>
        <w:ind w:left="100" w:right="60" w:firstLine="620"/>
        <w:jc w:val="both"/>
        <w:rPr>
          <w:rFonts w:ascii="Times New Roman" w:hAnsi="Times New Roman" w:cs="Times New Roman"/>
          <w:color w:val="FF0000"/>
        </w:rPr>
      </w:pPr>
    </w:p>
    <w:p w14:paraId="0899CF5C" w14:textId="77777777" w:rsidR="00FF12DA" w:rsidRDefault="00FF12DA" w:rsidP="0088320C">
      <w:pPr>
        <w:spacing w:after="0"/>
        <w:ind w:left="100" w:right="60" w:firstLine="620"/>
        <w:jc w:val="both"/>
        <w:rPr>
          <w:rFonts w:ascii="Times New Roman" w:hAnsi="Times New Roman" w:cs="Times New Roman"/>
          <w:color w:val="FF0000"/>
          <w:lang w:val="mn-MN"/>
        </w:rPr>
      </w:pPr>
    </w:p>
    <w:p w14:paraId="20824B1A" w14:textId="77777777" w:rsidR="00FF12DA" w:rsidRDefault="00FF12DA" w:rsidP="0088320C">
      <w:pPr>
        <w:spacing w:after="0"/>
        <w:ind w:left="100" w:right="60" w:firstLine="620"/>
        <w:jc w:val="both"/>
        <w:rPr>
          <w:rFonts w:ascii="Times New Roman" w:hAnsi="Times New Roman" w:cs="Times New Roman"/>
          <w:color w:val="FF0000"/>
          <w:lang w:val="mn-MN"/>
        </w:rPr>
      </w:pPr>
    </w:p>
    <w:p w14:paraId="156A53C7" w14:textId="77777777" w:rsidR="00FF12DA" w:rsidRDefault="00FF12DA" w:rsidP="0088320C">
      <w:pPr>
        <w:spacing w:after="0"/>
        <w:ind w:left="100" w:right="60" w:firstLine="620"/>
        <w:jc w:val="both"/>
        <w:rPr>
          <w:rFonts w:ascii="Times New Roman" w:hAnsi="Times New Roman" w:cs="Times New Roman"/>
          <w:color w:val="FF0000"/>
          <w:lang w:val="mn-MN"/>
        </w:rPr>
      </w:pPr>
    </w:p>
    <w:p w14:paraId="36278775" w14:textId="70D53846" w:rsidR="00823935" w:rsidRPr="00713A83" w:rsidRDefault="0056316C" w:rsidP="0056316C">
      <w:pPr>
        <w:tabs>
          <w:tab w:val="left" w:pos="1110"/>
        </w:tabs>
        <w:jc w:val="both"/>
        <w:rPr>
          <w:rFonts w:ascii="Times New Roman" w:eastAsia="Times New Roman" w:hAnsi="Times New Roman" w:cs="Times New Roman"/>
          <w:color w:val="FF0000"/>
          <w:spacing w:val="-1"/>
        </w:rPr>
      </w:pPr>
      <w:r w:rsidRPr="00D26763">
        <w:rPr>
          <w:rFonts w:ascii="Times New Roman" w:eastAsia="Times New Roman" w:hAnsi="Times New Roman" w:cs="Times New Roman"/>
          <w:color w:val="FF0000"/>
          <w:spacing w:val="-1"/>
        </w:rPr>
        <w:tab/>
      </w:r>
      <w:r w:rsidR="0059378E">
        <w:rPr>
          <w:rFonts w:ascii="Times New Roman" w:hAnsi="Times New Roman" w:cs="Times New Roman"/>
          <w:lang w:val="mn-MN"/>
        </w:rPr>
        <w:t xml:space="preserve">2023 </w:t>
      </w:r>
      <w:r w:rsidR="00F21749">
        <w:rPr>
          <w:rFonts w:ascii="Times New Roman" w:hAnsi="Times New Roman" w:cs="Times New Roman"/>
          <w:lang w:val="mn-MN"/>
        </w:rPr>
        <w:t xml:space="preserve"> </w:t>
      </w:r>
      <w:r w:rsidR="0059378E">
        <w:rPr>
          <w:rFonts w:ascii="Times New Roman" w:hAnsi="Times New Roman" w:cs="Times New Roman"/>
          <w:lang w:val="mn-MN"/>
        </w:rPr>
        <w:t xml:space="preserve">онд нийт 204 нүүрсний арилжаа </w:t>
      </w:r>
      <w:r w:rsidR="00E569D8">
        <w:rPr>
          <w:rFonts w:ascii="Times New Roman" w:hAnsi="Times New Roman" w:cs="Times New Roman"/>
          <w:lang w:val="mn-MN"/>
        </w:rPr>
        <w:t xml:space="preserve">амжилттай </w:t>
      </w:r>
      <w:r w:rsidR="0059378E">
        <w:rPr>
          <w:rFonts w:ascii="Times New Roman" w:hAnsi="Times New Roman" w:cs="Times New Roman"/>
          <w:lang w:val="mn-MN"/>
        </w:rPr>
        <w:t xml:space="preserve">явагдсан бөгөөд 12 дугаар сард хамгийн их буюу 33 удаагийн нүүрсний арилжаа хийгдсэн байна. </w:t>
      </w:r>
      <w:r w:rsidR="006027A9">
        <w:rPr>
          <w:rFonts w:ascii="Times New Roman" w:eastAsia="Calibri" w:hAnsi="Times New Roman" w:cs="Times New Roman"/>
          <w:kern w:val="0"/>
          <w:lang w:val="mn-MN"/>
          <w14:ligatures w14:val="none"/>
        </w:rPr>
        <w:t>Үүнд</w:t>
      </w:r>
      <w:r w:rsidR="006027A9">
        <w:rPr>
          <w:rFonts w:ascii="Times New Roman" w:eastAsia="Calibri" w:hAnsi="Times New Roman" w:cs="Times New Roman"/>
          <w:kern w:val="0"/>
          <w14:ligatures w14:val="none"/>
        </w:rPr>
        <w:t>:</w:t>
      </w:r>
    </w:p>
    <w:p w14:paraId="1FCBB2FE" w14:textId="77777777" w:rsidR="00823935" w:rsidRDefault="0059378E"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sidRPr="00823935">
        <w:rPr>
          <w:rFonts w:ascii="Times New Roman" w:eastAsia="Calibri" w:hAnsi="Times New Roman" w:cs="Times New Roman"/>
          <w:kern w:val="0"/>
          <w:lang w:val="mn-MN"/>
          <w14:ligatures w14:val="none"/>
        </w:rPr>
        <w:t xml:space="preserve">1 дүгээр сард нийт 1 удаагийн нүүрсний арилжаа явагдаж 12,800 тонн буюу 8.43 тэрбум төгрөгийн арилжаа, </w:t>
      </w:r>
    </w:p>
    <w:p w14:paraId="3126AAE9" w14:textId="77777777" w:rsidR="00823935" w:rsidRDefault="0059378E"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sidRPr="00823935">
        <w:rPr>
          <w:rFonts w:ascii="Times New Roman" w:eastAsia="Calibri" w:hAnsi="Times New Roman" w:cs="Times New Roman"/>
          <w:kern w:val="0"/>
          <w:lang w:val="mn-MN"/>
          <w14:ligatures w14:val="none"/>
        </w:rPr>
        <w:t xml:space="preserve">2 дугаар сард нийт 4 удаагийн нүүрсний арилжаа явагдаж 19,200 тонн буюу </w:t>
      </w:r>
      <w:r w:rsidR="00823935" w:rsidRPr="00823935">
        <w:rPr>
          <w:rFonts w:ascii="Times New Roman" w:eastAsia="Calibri" w:hAnsi="Times New Roman" w:cs="Times New Roman"/>
          <w:kern w:val="0"/>
          <w:lang w:val="mn-MN"/>
          <w14:ligatures w14:val="none"/>
        </w:rPr>
        <w:t>122</w:t>
      </w:r>
      <w:r w:rsidRPr="00823935">
        <w:rPr>
          <w:rFonts w:ascii="Times New Roman" w:eastAsia="Calibri" w:hAnsi="Times New Roman" w:cs="Times New Roman"/>
          <w:kern w:val="0"/>
          <w:lang w:val="mn-MN"/>
          <w14:ligatures w14:val="none"/>
        </w:rPr>
        <w:t>.</w:t>
      </w:r>
      <w:r w:rsidR="00823935" w:rsidRPr="00823935">
        <w:rPr>
          <w:rFonts w:ascii="Times New Roman" w:eastAsia="Calibri" w:hAnsi="Times New Roman" w:cs="Times New Roman"/>
          <w:kern w:val="0"/>
          <w:lang w:val="mn-MN"/>
          <w14:ligatures w14:val="none"/>
        </w:rPr>
        <w:t>37</w:t>
      </w:r>
      <w:r w:rsidRPr="00823935">
        <w:rPr>
          <w:rFonts w:ascii="Times New Roman" w:eastAsia="Calibri" w:hAnsi="Times New Roman" w:cs="Times New Roman"/>
          <w:kern w:val="0"/>
          <w:lang w:val="mn-MN"/>
          <w14:ligatures w14:val="none"/>
        </w:rPr>
        <w:t xml:space="preserve"> тэрбум төгрөгийн арилжаа,</w:t>
      </w:r>
      <w:r w:rsidR="00823935" w:rsidRPr="00823935">
        <w:rPr>
          <w:rFonts w:ascii="Times New Roman" w:eastAsia="Calibri" w:hAnsi="Times New Roman" w:cs="Times New Roman"/>
          <w:kern w:val="0"/>
          <w:lang w:val="mn-MN"/>
          <w14:ligatures w14:val="none"/>
        </w:rPr>
        <w:t xml:space="preserve"> </w:t>
      </w:r>
    </w:p>
    <w:p w14:paraId="09780B5B" w14:textId="1396AD11"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sidRPr="00823935">
        <w:rPr>
          <w:rFonts w:ascii="Times New Roman" w:eastAsia="Calibri" w:hAnsi="Times New Roman" w:cs="Times New Roman"/>
          <w:kern w:val="0"/>
          <w:lang w:val="mn-MN"/>
          <w14:ligatures w14:val="none"/>
        </w:rPr>
        <w:t>3</w:t>
      </w:r>
      <w:r w:rsidR="0059378E" w:rsidRPr="00823935">
        <w:rPr>
          <w:rFonts w:ascii="Times New Roman" w:eastAsia="Calibri" w:hAnsi="Times New Roman" w:cs="Times New Roman"/>
          <w:kern w:val="0"/>
          <w:lang w:val="mn-MN"/>
          <w14:ligatures w14:val="none"/>
        </w:rPr>
        <w:t xml:space="preserve"> </w:t>
      </w:r>
      <w:r w:rsidRPr="00823935">
        <w:rPr>
          <w:rFonts w:ascii="Times New Roman" w:eastAsia="Calibri" w:hAnsi="Times New Roman" w:cs="Times New Roman"/>
          <w:kern w:val="0"/>
          <w:lang w:val="mn-MN"/>
          <w14:ligatures w14:val="none"/>
        </w:rPr>
        <w:t>дугаар</w:t>
      </w:r>
      <w:r w:rsidR="0059378E" w:rsidRPr="00823935">
        <w:rPr>
          <w:rFonts w:ascii="Times New Roman" w:eastAsia="Calibri" w:hAnsi="Times New Roman" w:cs="Times New Roman"/>
          <w:kern w:val="0"/>
          <w:lang w:val="mn-MN"/>
          <w14:ligatures w14:val="none"/>
        </w:rPr>
        <w:t xml:space="preserve"> сард нийт 1</w:t>
      </w:r>
      <w:r w:rsidRPr="00823935">
        <w:rPr>
          <w:rFonts w:ascii="Times New Roman" w:eastAsia="Calibri" w:hAnsi="Times New Roman" w:cs="Times New Roman"/>
          <w:kern w:val="0"/>
          <w:lang w:val="mn-MN"/>
          <w14:ligatures w14:val="none"/>
        </w:rPr>
        <w:t>1</w:t>
      </w:r>
      <w:r w:rsidR="0059378E" w:rsidRPr="00823935">
        <w:rPr>
          <w:rFonts w:ascii="Times New Roman" w:eastAsia="Calibri" w:hAnsi="Times New Roman" w:cs="Times New Roman"/>
          <w:kern w:val="0"/>
          <w:lang w:val="mn-MN"/>
          <w14:ligatures w14:val="none"/>
        </w:rPr>
        <w:t xml:space="preserve"> удаагийн нүүрсний арилжаа явагдаж </w:t>
      </w:r>
      <w:r w:rsidRPr="00823935">
        <w:rPr>
          <w:rFonts w:ascii="Times New Roman" w:eastAsia="Calibri" w:hAnsi="Times New Roman" w:cs="Times New Roman"/>
          <w:kern w:val="0"/>
          <w:lang w:val="mn-MN"/>
          <w14:ligatures w14:val="none"/>
        </w:rPr>
        <w:t>588,800</w:t>
      </w:r>
      <w:r w:rsidR="00AF4300">
        <w:rPr>
          <w:rFonts w:ascii="Times New Roman" w:eastAsia="Calibri" w:hAnsi="Times New Roman" w:cs="Times New Roman"/>
          <w:kern w:val="0"/>
          <w:lang w:val="mn-MN"/>
          <w14:ligatures w14:val="none"/>
        </w:rPr>
        <w:t xml:space="preserve"> </w:t>
      </w:r>
      <w:r w:rsidR="0059378E" w:rsidRPr="00823935">
        <w:rPr>
          <w:rFonts w:ascii="Times New Roman" w:eastAsia="Calibri" w:hAnsi="Times New Roman" w:cs="Times New Roman"/>
          <w:kern w:val="0"/>
          <w:lang w:val="mn-MN"/>
          <w14:ligatures w14:val="none"/>
        </w:rPr>
        <w:t xml:space="preserve">тонн буюу </w:t>
      </w:r>
      <w:r w:rsidRPr="00823935">
        <w:rPr>
          <w:rFonts w:ascii="Times New Roman" w:eastAsia="Calibri" w:hAnsi="Times New Roman" w:cs="Times New Roman"/>
          <w:kern w:val="0"/>
          <w:lang w:val="mn-MN"/>
          <w14:ligatures w14:val="none"/>
        </w:rPr>
        <w:t>305.55</w:t>
      </w:r>
      <w:r w:rsidR="0059378E" w:rsidRPr="00823935">
        <w:rPr>
          <w:rFonts w:ascii="Times New Roman" w:eastAsia="Calibri" w:hAnsi="Times New Roman" w:cs="Times New Roman"/>
          <w:kern w:val="0"/>
          <w:lang w:val="mn-MN"/>
          <w14:ligatures w14:val="none"/>
        </w:rPr>
        <w:t xml:space="preserve"> тэрбум төгрөгийн арилжаа, </w:t>
      </w:r>
    </w:p>
    <w:p w14:paraId="0999FE23" w14:textId="77777777"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4</w:t>
      </w:r>
      <w:r w:rsidR="0059378E" w:rsidRPr="00823935">
        <w:rPr>
          <w:rFonts w:ascii="Times New Roman" w:eastAsia="Calibri" w:hAnsi="Times New Roman" w:cs="Times New Roman"/>
          <w:kern w:val="0"/>
          <w:lang w:val="mn-MN"/>
          <w14:ligatures w14:val="none"/>
        </w:rPr>
        <w:t xml:space="preserve"> дүгээр сард нийт 1</w:t>
      </w:r>
      <w:r>
        <w:rPr>
          <w:rFonts w:ascii="Times New Roman" w:eastAsia="Calibri" w:hAnsi="Times New Roman" w:cs="Times New Roman"/>
          <w:kern w:val="0"/>
          <w:lang w:val="mn-MN"/>
          <w14:ligatures w14:val="none"/>
        </w:rPr>
        <w:t>0</w:t>
      </w:r>
      <w:r w:rsidR="0059378E"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390,400</w:t>
      </w:r>
      <w:r w:rsidR="0059378E"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210.16</w:t>
      </w:r>
      <w:r w:rsidR="0059378E" w:rsidRPr="00823935">
        <w:rPr>
          <w:rFonts w:ascii="Times New Roman" w:eastAsia="Calibri" w:hAnsi="Times New Roman" w:cs="Times New Roman"/>
          <w:kern w:val="0"/>
          <w:lang w:val="mn-MN"/>
          <w14:ligatures w14:val="none"/>
        </w:rPr>
        <w:t xml:space="preserve"> тэрбум төгрөгийн арилжаа, </w:t>
      </w:r>
    </w:p>
    <w:p w14:paraId="66ED6518" w14:textId="0C395269"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5</w:t>
      </w:r>
      <w:r w:rsidR="0059378E" w:rsidRPr="00823935">
        <w:rPr>
          <w:rFonts w:ascii="Times New Roman" w:eastAsia="Calibri" w:hAnsi="Times New Roman" w:cs="Times New Roman"/>
          <w:kern w:val="0"/>
          <w:lang w:val="mn-MN"/>
          <w14:ligatures w14:val="none"/>
        </w:rPr>
        <w:t xml:space="preserve"> д</w:t>
      </w:r>
      <w:r w:rsidR="00AD0750">
        <w:rPr>
          <w:rFonts w:ascii="Times New Roman" w:eastAsia="Calibri" w:hAnsi="Times New Roman" w:cs="Times New Roman"/>
          <w:kern w:val="0"/>
          <w:lang w:val="mn-MN"/>
          <w14:ligatures w14:val="none"/>
        </w:rPr>
        <w:t>угаа</w:t>
      </w:r>
      <w:r w:rsidR="0059378E" w:rsidRPr="00823935">
        <w:rPr>
          <w:rFonts w:ascii="Times New Roman" w:eastAsia="Calibri" w:hAnsi="Times New Roman" w:cs="Times New Roman"/>
          <w:kern w:val="0"/>
          <w:lang w:val="mn-MN"/>
          <w14:ligatures w14:val="none"/>
        </w:rPr>
        <w:t xml:space="preserve">р сард нийт </w:t>
      </w:r>
      <w:r>
        <w:rPr>
          <w:rFonts w:ascii="Times New Roman" w:eastAsia="Calibri" w:hAnsi="Times New Roman" w:cs="Times New Roman"/>
          <w:kern w:val="0"/>
          <w:lang w:val="mn-MN"/>
          <w14:ligatures w14:val="none"/>
        </w:rPr>
        <w:t>9</w:t>
      </w:r>
      <w:r w:rsidR="0059378E"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358,400</w:t>
      </w:r>
      <w:r w:rsidR="0059378E"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122.1</w:t>
      </w:r>
      <w:r w:rsidR="0059378E" w:rsidRPr="00823935">
        <w:rPr>
          <w:rFonts w:ascii="Times New Roman" w:eastAsia="Calibri" w:hAnsi="Times New Roman" w:cs="Times New Roman"/>
          <w:kern w:val="0"/>
          <w:lang w:val="mn-MN"/>
          <w14:ligatures w14:val="none"/>
        </w:rPr>
        <w:t xml:space="preserve"> тэрбум төгрөгийн арилжаа, </w:t>
      </w:r>
    </w:p>
    <w:p w14:paraId="7CD1A683" w14:textId="77777777"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6 дугаар</w:t>
      </w:r>
      <w:r w:rsidR="0059378E" w:rsidRPr="00823935">
        <w:rPr>
          <w:rFonts w:ascii="Times New Roman" w:eastAsia="Calibri" w:hAnsi="Times New Roman" w:cs="Times New Roman"/>
          <w:kern w:val="0"/>
          <w:lang w:val="mn-MN"/>
          <w14:ligatures w14:val="none"/>
        </w:rPr>
        <w:t xml:space="preserve"> сард нийт 1</w:t>
      </w:r>
      <w:r>
        <w:rPr>
          <w:rFonts w:ascii="Times New Roman" w:eastAsia="Calibri" w:hAnsi="Times New Roman" w:cs="Times New Roman"/>
          <w:kern w:val="0"/>
          <w:lang w:val="mn-MN"/>
          <w14:ligatures w14:val="none"/>
        </w:rPr>
        <w:t>9</w:t>
      </w:r>
      <w:r w:rsidR="0059378E"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1,568,000</w:t>
      </w:r>
      <w:r w:rsidR="0059378E"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545.4</w:t>
      </w:r>
      <w:r w:rsidR="0059378E" w:rsidRPr="00823935">
        <w:rPr>
          <w:rFonts w:ascii="Times New Roman" w:eastAsia="Calibri" w:hAnsi="Times New Roman" w:cs="Times New Roman"/>
          <w:kern w:val="0"/>
          <w:lang w:val="mn-MN"/>
          <w14:ligatures w14:val="none"/>
        </w:rPr>
        <w:t xml:space="preserve"> тэрбум төгрөгийн арилжаа, </w:t>
      </w:r>
    </w:p>
    <w:p w14:paraId="1DEDD5EB" w14:textId="2E27E0F9"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7 дугаар</w:t>
      </w:r>
      <w:r w:rsidRPr="00823935">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5</w:t>
      </w:r>
      <w:r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153,600</w:t>
      </w:r>
      <w:r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69.24</w:t>
      </w:r>
      <w:r w:rsidRPr="00823935">
        <w:rPr>
          <w:rFonts w:ascii="Times New Roman" w:eastAsia="Calibri" w:hAnsi="Times New Roman" w:cs="Times New Roman"/>
          <w:kern w:val="0"/>
          <w:lang w:val="mn-MN"/>
          <w14:ligatures w14:val="none"/>
        </w:rPr>
        <w:t xml:space="preserve"> тэрбум төгрөгийн арилжаа, </w:t>
      </w:r>
    </w:p>
    <w:p w14:paraId="48344CE5" w14:textId="5C62CFA3" w:rsidR="00823935" w:rsidRDefault="00823935"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8 дугаар</w:t>
      </w:r>
      <w:r w:rsidRPr="00823935">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22</w:t>
      </w:r>
      <w:r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1,049,600</w:t>
      </w:r>
      <w:r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 xml:space="preserve">480.3 </w:t>
      </w:r>
      <w:r w:rsidRPr="00823935">
        <w:rPr>
          <w:rFonts w:ascii="Times New Roman" w:eastAsia="Calibri" w:hAnsi="Times New Roman" w:cs="Times New Roman"/>
          <w:kern w:val="0"/>
          <w:lang w:val="mn-MN"/>
          <w14:ligatures w14:val="none"/>
        </w:rPr>
        <w:t xml:space="preserve">тэрбум төгрөгийн арилжаа, </w:t>
      </w:r>
    </w:p>
    <w:p w14:paraId="1976D3B2" w14:textId="6785185E" w:rsidR="00823935" w:rsidRDefault="00BB1AE8" w:rsidP="00823935">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9</w:t>
      </w:r>
      <w:r w:rsidR="00823935">
        <w:rPr>
          <w:rFonts w:ascii="Times New Roman" w:eastAsia="Calibri" w:hAnsi="Times New Roman" w:cs="Times New Roman"/>
          <w:kern w:val="0"/>
          <w:lang w:val="mn-MN"/>
          <w14:ligatures w14:val="none"/>
        </w:rPr>
        <w:t xml:space="preserve"> </w:t>
      </w:r>
      <w:r>
        <w:rPr>
          <w:rFonts w:ascii="Times New Roman" w:eastAsia="Calibri" w:hAnsi="Times New Roman" w:cs="Times New Roman"/>
          <w:kern w:val="0"/>
          <w:lang w:val="mn-MN"/>
          <w14:ligatures w14:val="none"/>
        </w:rPr>
        <w:t>дүгээ</w:t>
      </w:r>
      <w:r w:rsidR="00823935">
        <w:rPr>
          <w:rFonts w:ascii="Times New Roman" w:eastAsia="Calibri" w:hAnsi="Times New Roman" w:cs="Times New Roman"/>
          <w:kern w:val="0"/>
          <w:lang w:val="mn-MN"/>
          <w14:ligatures w14:val="none"/>
        </w:rPr>
        <w:t>р</w:t>
      </w:r>
      <w:r w:rsidR="00823935" w:rsidRPr="00823935">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27</w:t>
      </w:r>
      <w:r w:rsidR="00823935"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3,155,200</w:t>
      </w:r>
      <w:r w:rsidR="00823935"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1 их наяд 473.24</w:t>
      </w:r>
      <w:r w:rsidR="00823935" w:rsidRPr="00823935">
        <w:rPr>
          <w:rFonts w:ascii="Times New Roman" w:eastAsia="Calibri" w:hAnsi="Times New Roman" w:cs="Times New Roman"/>
          <w:kern w:val="0"/>
          <w:lang w:val="mn-MN"/>
          <w14:ligatures w14:val="none"/>
        </w:rPr>
        <w:t xml:space="preserve"> тэрбум төгрөгийн арилжаа, </w:t>
      </w:r>
    </w:p>
    <w:p w14:paraId="1BFDE969" w14:textId="77777777" w:rsidR="00BB1AE8" w:rsidRDefault="00BB1AE8" w:rsidP="00BB1AE8">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10</w:t>
      </w:r>
      <w:r w:rsidR="00823935">
        <w:rPr>
          <w:rFonts w:ascii="Times New Roman" w:eastAsia="Calibri" w:hAnsi="Times New Roman" w:cs="Times New Roman"/>
          <w:kern w:val="0"/>
          <w:lang w:val="mn-MN"/>
          <w14:ligatures w14:val="none"/>
        </w:rPr>
        <w:t xml:space="preserve"> дугаар</w:t>
      </w:r>
      <w:r w:rsidR="00823935" w:rsidRPr="00823935">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32</w:t>
      </w:r>
      <w:r w:rsidR="00823935" w:rsidRPr="00823935">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2,387,200</w:t>
      </w:r>
      <w:r w:rsidR="00823935" w:rsidRPr="00823935">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1 их наяд 141.56</w:t>
      </w:r>
      <w:r w:rsidR="00823935" w:rsidRPr="00823935">
        <w:rPr>
          <w:rFonts w:ascii="Times New Roman" w:eastAsia="Calibri" w:hAnsi="Times New Roman" w:cs="Times New Roman"/>
          <w:kern w:val="0"/>
          <w:lang w:val="mn-MN"/>
          <w14:ligatures w14:val="none"/>
        </w:rPr>
        <w:t xml:space="preserve"> тэрбум төгрөгийн арилжаа, </w:t>
      </w:r>
    </w:p>
    <w:p w14:paraId="4B3E9481" w14:textId="161B495E" w:rsidR="00BB1AE8" w:rsidRPr="00BB1AE8" w:rsidRDefault="00BB1AE8" w:rsidP="00BB1AE8">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 xml:space="preserve">11 </w:t>
      </w:r>
      <w:r w:rsidRPr="00BB1AE8">
        <w:rPr>
          <w:rFonts w:ascii="Times New Roman" w:eastAsia="Calibri" w:hAnsi="Times New Roman" w:cs="Times New Roman"/>
          <w:kern w:val="0"/>
          <w:lang w:val="mn-MN"/>
          <w14:ligatures w14:val="none"/>
        </w:rPr>
        <w:t>д</w:t>
      </w:r>
      <w:r>
        <w:rPr>
          <w:rFonts w:ascii="Times New Roman" w:eastAsia="Calibri" w:hAnsi="Times New Roman" w:cs="Times New Roman"/>
          <w:kern w:val="0"/>
          <w:lang w:val="mn-MN"/>
          <w14:ligatures w14:val="none"/>
        </w:rPr>
        <w:t>үгээр</w:t>
      </w:r>
      <w:r w:rsidRPr="00BB1AE8">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31</w:t>
      </w:r>
      <w:r w:rsidRPr="00BB1AE8">
        <w:rPr>
          <w:rFonts w:ascii="Times New Roman" w:eastAsia="Calibri" w:hAnsi="Times New Roman" w:cs="Times New Roman"/>
          <w:kern w:val="0"/>
          <w:lang w:val="mn-MN"/>
          <w14:ligatures w14:val="none"/>
        </w:rPr>
        <w:t xml:space="preserve"> удаагийн нүүрсний арилжаа явагдаж 1,</w:t>
      </w:r>
      <w:r>
        <w:rPr>
          <w:rFonts w:ascii="Times New Roman" w:eastAsia="Calibri" w:hAnsi="Times New Roman" w:cs="Times New Roman"/>
          <w:kern w:val="0"/>
          <w:lang w:val="mn-MN"/>
          <w14:ligatures w14:val="none"/>
        </w:rPr>
        <w:t>651,200</w:t>
      </w:r>
      <w:r w:rsidRPr="00BB1AE8">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942.37</w:t>
      </w:r>
      <w:r w:rsidRPr="00BB1AE8">
        <w:rPr>
          <w:rFonts w:ascii="Times New Roman" w:eastAsia="Calibri" w:hAnsi="Times New Roman" w:cs="Times New Roman"/>
          <w:kern w:val="0"/>
          <w:lang w:val="mn-MN"/>
          <w14:ligatures w14:val="none"/>
        </w:rPr>
        <w:t xml:space="preserve"> тэрбум төгрөгийн арилжаа, </w:t>
      </w:r>
    </w:p>
    <w:p w14:paraId="471CABD7" w14:textId="77777777" w:rsidR="001101AA" w:rsidRDefault="00BB1AE8" w:rsidP="00BB1AE8">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 xml:space="preserve">12 </w:t>
      </w:r>
      <w:r w:rsidR="0059378E" w:rsidRPr="00BB1AE8">
        <w:rPr>
          <w:rFonts w:ascii="Times New Roman" w:eastAsia="Calibri" w:hAnsi="Times New Roman" w:cs="Times New Roman"/>
          <w:kern w:val="0"/>
          <w:lang w:val="mn-MN"/>
          <w14:ligatures w14:val="none"/>
        </w:rPr>
        <w:t>д</w:t>
      </w:r>
      <w:r>
        <w:rPr>
          <w:rFonts w:ascii="Times New Roman" w:eastAsia="Calibri" w:hAnsi="Times New Roman" w:cs="Times New Roman"/>
          <w:kern w:val="0"/>
          <w:lang w:val="mn-MN"/>
          <w14:ligatures w14:val="none"/>
        </w:rPr>
        <w:t>угаар</w:t>
      </w:r>
      <w:r w:rsidR="0059378E" w:rsidRPr="00BB1AE8">
        <w:rPr>
          <w:rFonts w:ascii="Times New Roman" w:eastAsia="Calibri" w:hAnsi="Times New Roman" w:cs="Times New Roman"/>
          <w:kern w:val="0"/>
          <w:lang w:val="mn-MN"/>
          <w14:ligatures w14:val="none"/>
        </w:rPr>
        <w:t xml:space="preserve"> сард нийт </w:t>
      </w:r>
      <w:r>
        <w:rPr>
          <w:rFonts w:ascii="Times New Roman" w:eastAsia="Calibri" w:hAnsi="Times New Roman" w:cs="Times New Roman"/>
          <w:kern w:val="0"/>
          <w:lang w:val="mn-MN"/>
          <w14:ligatures w14:val="none"/>
        </w:rPr>
        <w:t>33</w:t>
      </w:r>
      <w:r w:rsidR="0059378E" w:rsidRPr="00BB1AE8">
        <w:rPr>
          <w:rFonts w:ascii="Times New Roman" w:eastAsia="Calibri" w:hAnsi="Times New Roman" w:cs="Times New Roman"/>
          <w:kern w:val="0"/>
          <w:lang w:val="mn-MN"/>
          <w14:ligatures w14:val="none"/>
        </w:rPr>
        <w:t xml:space="preserve"> удаагийн нүүрсний арилжаа явагдаж </w:t>
      </w:r>
      <w:r>
        <w:rPr>
          <w:rFonts w:ascii="Times New Roman" w:eastAsia="Calibri" w:hAnsi="Times New Roman" w:cs="Times New Roman"/>
          <w:kern w:val="0"/>
          <w:lang w:val="mn-MN"/>
          <w14:ligatures w14:val="none"/>
        </w:rPr>
        <w:t>3,430,400</w:t>
      </w:r>
      <w:r w:rsidR="0059378E" w:rsidRPr="00BB1AE8">
        <w:rPr>
          <w:rFonts w:ascii="Times New Roman" w:eastAsia="Calibri" w:hAnsi="Times New Roman" w:cs="Times New Roman"/>
          <w:kern w:val="0"/>
          <w:lang w:val="mn-MN"/>
          <w14:ligatures w14:val="none"/>
        </w:rPr>
        <w:t xml:space="preserve"> тонн буюу </w:t>
      </w:r>
      <w:r>
        <w:rPr>
          <w:rFonts w:ascii="Times New Roman" w:eastAsia="Calibri" w:hAnsi="Times New Roman" w:cs="Times New Roman"/>
          <w:kern w:val="0"/>
          <w:lang w:val="mn-MN"/>
          <w14:ligatures w14:val="none"/>
        </w:rPr>
        <w:t xml:space="preserve">1 их </w:t>
      </w:r>
    </w:p>
    <w:p w14:paraId="77B925A8" w14:textId="0A38FBB3" w:rsidR="0059378E" w:rsidRPr="00BB1AE8" w:rsidRDefault="00BB1AE8" w:rsidP="00BB1AE8">
      <w:pPr>
        <w:pStyle w:val="ListParagraph"/>
        <w:numPr>
          <w:ilvl w:val="0"/>
          <w:numId w:val="2"/>
        </w:numPr>
        <w:tabs>
          <w:tab w:val="left" w:pos="1110"/>
        </w:tabs>
        <w:jc w:val="both"/>
        <w:rPr>
          <w:rFonts w:ascii="Times New Roman" w:eastAsia="Calibri" w:hAnsi="Times New Roman" w:cs="Times New Roman"/>
          <w:kern w:val="0"/>
          <w:lang w:val="mn-MN"/>
          <w14:ligatures w14:val="none"/>
        </w:rPr>
      </w:pPr>
      <w:r>
        <w:rPr>
          <w:rFonts w:ascii="Times New Roman" w:eastAsia="Calibri" w:hAnsi="Times New Roman" w:cs="Times New Roman"/>
          <w:kern w:val="0"/>
          <w:lang w:val="mn-MN"/>
          <w14:ligatures w14:val="none"/>
        </w:rPr>
        <w:t>наяд 924.5</w:t>
      </w:r>
      <w:r w:rsidR="0059378E" w:rsidRPr="00BB1AE8">
        <w:rPr>
          <w:rFonts w:ascii="Times New Roman" w:eastAsia="Calibri" w:hAnsi="Times New Roman" w:cs="Times New Roman"/>
          <w:kern w:val="0"/>
          <w:lang w:val="mn-MN"/>
          <w14:ligatures w14:val="none"/>
        </w:rPr>
        <w:t xml:space="preserve"> тэрбум төгрөгийн арилжаа</w:t>
      </w:r>
      <w:r>
        <w:rPr>
          <w:rFonts w:ascii="Times New Roman" w:eastAsia="Calibri" w:hAnsi="Times New Roman" w:cs="Times New Roman"/>
          <w:kern w:val="0"/>
          <w:lang w:val="mn-MN"/>
          <w14:ligatures w14:val="none"/>
        </w:rPr>
        <w:t xml:space="preserve"> </w:t>
      </w:r>
      <w:r w:rsidR="0059378E" w:rsidRPr="00BB1AE8">
        <w:rPr>
          <w:rFonts w:ascii="Times New Roman" w:eastAsia="Calibri" w:hAnsi="Times New Roman" w:cs="Times New Roman"/>
          <w:kern w:val="0"/>
          <w:lang w:val="mn-MN"/>
          <w14:ligatures w14:val="none"/>
        </w:rPr>
        <w:t>тус ту</w:t>
      </w:r>
      <w:r>
        <w:rPr>
          <w:rFonts w:ascii="Times New Roman" w:eastAsia="Calibri" w:hAnsi="Times New Roman" w:cs="Times New Roman"/>
          <w:kern w:val="0"/>
          <w:lang w:val="mn-MN"/>
          <w14:ligatures w14:val="none"/>
        </w:rPr>
        <w:t>с явагдсан.</w:t>
      </w:r>
      <w:r w:rsidR="0059378E" w:rsidRPr="00BB1AE8">
        <w:rPr>
          <w:rFonts w:ascii="Times New Roman" w:eastAsia="Calibri" w:hAnsi="Times New Roman" w:cs="Times New Roman"/>
          <w:kern w:val="0"/>
          <w:lang w:val="mn-MN"/>
          <w14:ligatures w14:val="none"/>
        </w:rPr>
        <w:t xml:space="preserve"> </w:t>
      </w:r>
    </w:p>
    <w:p w14:paraId="7036A512" w14:textId="14E683DD" w:rsidR="00101388" w:rsidRPr="000C3342" w:rsidRDefault="00101388" w:rsidP="0088320C">
      <w:pPr>
        <w:tabs>
          <w:tab w:val="left" w:pos="1110"/>
        </w:tabs>
        <w:jc w:val="both"/>
        <w:rPr>
          <w:rFonts w:ascii="Times New Roman" w:hAnsi="Times New Roman" w:cs="Times New Roman"/>
          <w:i/>
          <w:iCs/>
          <w:color w:val="2F5496" w:themeColor="accent1" w:themeShade="BF"/>
          <w:sz w:val="16"/>
          <w:szCs w:val="16"/>
          <w:lang w:val="mn-MN"/>
        </w:rPr>
      </w:pPr>
    </w:p>
    <w:p w14:paraId="4D9C59F8" w14:textId="6F374C4F" w:rsidR="00961D5E" w:rsidRPr="000C3342" w:rsidRDefault="000C3342" w:rsidP="00A12EA8">
      <w:pPr>
        <w:tabs>
          <w:tab w:val="left" w:pos="1110"/>
        </w:tabs>
        <w:spacing w:after="0"/>
        <w:ind w:left="1080"/>
        <w:jc w:val="center"/>
        <w:rPr>
          <w:rFonts w:ascii="Times New Roman" w:hAnsi="Times New Roman" w:cs="Times New Roman"/>
          <w:i/>
          <w:iCs/>
          <w:color w:val="2F5496" w:themeColor="accent1" w:themeShade="BF"/>
          <w:sz w:val="16"/>
          <w:szCs w:val="16"/>
          <w:lang w:val="mn-MN"/>
        </w:rPr>
      </w:pPr>
      <w:r w:rsidRPr="000C3342">
        <w:rPr>
          <w:rFonts w:ascii="Times New Roman" w:hAnsi="Times New Roman" w:cs="Times New Roman"/>
          <w:i/>
          <w:iCs/>
          <w:color w:val="2F5496" w:themeColor="accent1" w:themeShade="BF"/>
          <w:sz w:val="16"/>
          <w:szCs w:val="16"/>
          <w:lang w:val="mn-MN"/>
        </w:rPr>
        <w:t>График</w:t>
      </w:r>
      <w:r w:rsidR="00C662AD">
        <w:rPr>
          <w:rFonts w:ascii="Times New Roman" w:hAnsi="Times New Roman" w:cs="Times New Roman"/>
          <w:i/>
          <w:iCs/>
          <w:color w:val="2F5496" w:themeColor="accent1" w:themeShade="BF"/>
          <w:sz w:val="16"/>
          <w:szCs w:val="16"/>
          <w:lang w:val="mn-MN"/>
        </w:rPr>
        <w:t>4</w:t>
      </w:r>
      <w:r w:rsidRPr="000C3342">
        <w:rPr>
          <w:rFonts w:ascii="Times New Roman" w:hAnsi="Times New Roman" w:cs="Times New Roman"/>
          <w:i/>
          <w:iCs/>
          <w:color w:val="2F5496" w:themeColor="accent1" w:themeShade="BF"/>
          <w:sz w:val="16"/>
          <w:szCs w:val="16"/>
          <w:lang w:val="mn-MN"/>
        </w:rPr>
        <w:t>. Нүүрсний арилжаа</w:t>
      </w:r>
      <w:r>
        <w:rPr>
          <w:rFonts w:ascii="Times New Roman" w:hAnsi="Times New Roman" w:cs="Times New Roman"/>
          <w:i/>
          <w:iCs/>
          <w:color w:val="2F5496" w:themeColor="accent1" w:themeShade="BF"/>
          <w:sz w:val="16"/>
          <w:szCs w:val="16"/>
          <w:lang w:val="mn-MN"/>
        </w:rPr>
        <w:t>ны</w:t>
      </w:r>
      <w:r w:rsidR="00D42CEF">
        <w:rPr>
          <w:rFonts w:ascii="Times New Roman" w:hAnsi="Times New Roman" w:cs="Times New Roman"/>
          <w:i/>
          <w:iCs/>
          <w:color w:val="2F5496" w:themeColor="accent1" w:themeShade="BF"/>
          <w:sz w:val="16"/>
          <w:szCs w:val="16"/>
          <w:lang w:val="mn-MN"/>
        </w:rPr>
        <w:t xml:space="preserve"> тухайн саруудад арилжигдсан үнийн дүнгийн мэдээлэл</w:t>
      </w:r>
      <w:r>
        <w:rPr>
          <w:rFonts w:ascii="Times New Roman" w:hAnsi="Times New Roman" w:cs="Times New Roman"/>
          <w:i/>
          <w:iCs/>
          <w:color w:val="2F5496" w:themeColor="accent1" w:themeShade="BF"/>
          <w:sz w:val="16"/>
          <w:szCs w:val="16"/>
          <w:lang w:val="mn-MN"/>
        </w:rPr>
        <w:t>.</w:t>
      </w:r>
    </w:p>
    <w:p w14:paraId="001469E5" w14:textId="1ABEA8D0" w:rsidR="0059378E" w:rsidRDefault="000C3342" w:rsidP="00101388">
      <w:pPr>
        <w:tabs>
          <w:tab w:val="left" w:pos="1110"/>
        </w:tabs>
        <w:ind w:left="1080"/>
        <w:jc w:val="both"/>
        <w:rPr>
          <w:rFonts w:ascii="Times New Roman" w:hAnsi="Times New Roman" w:cs="Times New Roman"/>
          <w:lang w:val="mn-MN"/>
        </w:rPr>
      </w:pPr>
      <w:r>
        <w:rPr>
          <w:rFonts w:ascii="Times New Roman" w:hAnsi="Times New Roman" w:cs="Times New Roman"/>
          <w:noProof/>
          <w:lang w:val="mn-MN"/>
        </w:rPr>
        <w:drawing>
          <wp:anchor distT="0" distB="0" distL="114300" distR="114300" simplePos="0" relativeHeight="251660288" behindDoc="1" locked="0" layoutInCell="1" allowOverlap="1" wp14:anchorId="060F9019" wp14:editId="0C06118B">
            <wp:simplePos x="0" y="0"/>
            <wp:positionH relativeFrom="margin">
              <wp:posOffset>584703</wp:posOffset>
            </wp:positionH>
            <wp:positionV relativeFrom="paragraph">
              <wp:posOffset>10795</wp:posOffset>
            </wp:positionV>
            <wp:extent cx="5925820" cy="3295290"/>
            <wp:effectExtent l="0" t="0" r="17780" b="635"/>
            <wp:wrapNone/>
            <wp:docPr id="11471272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FE25C5D" w14:textId="2D93D0D1" w:rsidR="00961D5E" w:rsidRDefault="00961D5E" w:rsidP="00101388">
      <w:pPr>
        <w:tabs>
          <w:tab w:val="left" w:pos="1110"/>
        </w:tabs>
        <w:ind w:left="1080"/>
        <w:jc w:val="both"/>
        <w:rPr>
          <w:rFonts w:ascii="Times New Roman" w:hAnsi="Times New Roman" w:cs="Times New Roman"/>
          <w:lang w:val="mn-MN"/>
        </w:rPr>
      </w:pPr>
    </w:p>
    <w:p w14:paraId="0C630EA6" w14:textId="3EB272C7" w:rsidR="008E0DD3" w:rsidRPr="008E0DD3" w:rsidRDefault="00B04C5A" w:rsidP="00B04C5A">
      <w:pPr>
        <w:tabs>
          <w:tab w:val="left" w:pos="1110"/>
        </w:tabs>
        <w:rPr>
          <w:rFonts w:ascii="Times New Roman" w:hAnsi="Times New Roman" w:cs="Times New Roman"/>
          <w:lang w:val="mn-MN"/>
        </w:rPr>
      </w:pPr>
      <w:r>
        <w:rPr>
          <w:rFonts w:ascii="Times New Roman" w:hAnsi="Times New Roman" w:cs="Times New Roman"/>
          <w:lang w:val="mn-MN"/>
        </w:rPr>
        <w:tab/>
      </w:r>
    </w:p>
    <w:p w14:paraId="59322A27" w14:textId="77777777" w:rsidR="008E0DD3" w:rsidRPr="008E0DD3" w:rsidRDefault="008E0DD3" w:rsidP="008E0DD3">
      <w:pPr>
        <w:rPr>
          <w:rFonts w:ascii="Times New Roman" w:hAnsi="Times New Roman" w:cs="Times New Roman"/>
          <w:lang w:val="mn-MN"/>
        </w:rPr>
      </w:pPr>
    </w:p>
    <w:p w14:paraId="22A2549F" w14:textId="77777777" w:rsidR="008E0DD3" w:rsidRPr="008E0DD3" w:rsidRDefault="008E0DD3" w:rsidP="008E0DD3">
      <w:pPr>
        <w:rPr>
          <w:rFonts w:ascii="Times New Roman" w:hAnsi="Times New Roman" w:cs="Times New Roman"/>
          <w:lang w:val="mn-MN"/>
        </w:rPr>
      </w:pPr>
    </w:p>
    <w:p w14:paraId="18A3776C" w14:textId="77777777" w:rsidR="008E0DD3" w:rsidRPr="008E0DD3" w:rsidRDefault="008E0DD3" w:rsidP="008E0DD3">
      <w:pPr>
        <w:rPr>
          <w:rFonts w:ascii="Times New Roman" w:hAnsi="Times New Roman" w:cs="Times New Roman"/>
          <w:lang w:val="mn-MN"/>
        </w:rPr>
      </w:pPr>
    </w:p>
    <w:p w14:paraId="0F2ED7BD" w14:textId="5FDBC65B" w:rsidR="008E0DD3" w:rsidRPr="008E0DD3" w:rsidRDefault="00A26C75" w:rsidP="00A26C75">
      <w:pPr>
        <w:tabs>
          <w:tab w:val="left" w:pos="6955"/>
        </w:tabs>
        <w:rPr>
          <w:rFonts w:ascii="Times New Roman" w:hAnsi="Times New Roman" w:cs="Times New Roman"/>
          <w:lang w:val="mn-MN"/>
        </w:rPr>
      </w:pPr>
      <w:r>
        <w:rPr>
          <w:rFonts w:ascii="Times New Roman" w:hAnsi="Times New Roman" w:cs="Times New Roman"/>
          <w:lang w:val="mn-MN"/>
        </w:rPr>
        <w:tab/>
      </w:r>
    </w:p>
    <w:p w14:paraId="7C10EE58" w14:textId="77777777" w:rsidR="008E0DD3" w:rsidRPr="008E0DD3" w:rsidRDefault="008E0DD3" w:rsidP="008E0DD3">
      <w:pPr>
        <w:rPr>
          <w:rFonts w:ascii="Times New Roman" w:hAnsi="Times New Roman" w:cs="Times New Roman"/>
          <w:lang w:val="mn-MN"/>
        </w:rPr>
      </w:pPr>
    </w:p>
    <w:p w14:paraId="52E86A06" w14:textId="77777777" w:rsidR="008E0DD3" w:rsidRPr="008E0DD3" w:rsidRDefault="008E0DD3" w:rsidP="008E0DD3">
      <w:pPr>
        <w:rPr>
          <w:rFonts w:ascii="Times New Roman" w:hAnsi="Times New Roman" w:cs="Times New Roman"/>
          <w:lang w:val="mn-MN"/>
        </w:rPr>
      </w:pPr>
    </w:p>
    <w:p w14:paraId="3D0A79D8" w14:textId="77777777" w:rsidR="008E0DD3" w:rsidRPr="008E0DD3" w:rsidRDefault="008E0DD3" w:rsidP="008E0DD3">
      <w:pPr>
        <w:rPr>
          <w:rFonts w:ascii="Times New Roman" w:hAnsi="Times New Roman" w:cs="Times New Roman"/>
          <w:lang w:val="mn-MN"/>
        </w:rPr>
      </w:pPr>
    </w:p>
    <w:p w14:paraId="1FE2A731" w14:textId="44C481D1" w:rsidR="008E0DD3" w:rsidRPr="008E0DD3" w:rsidRDefault="00AC457F" w:rsidP="008B314C">
      <w:pPr>
        <w:tabs>
          <w:tab w:val="left" w:pos="2811"/>
          <w:tab w:val="left" w:pos="4481"/>
          <w:tab w:val="left" w:pos="8823"/>
        </w:tabs>
        <w:rPr>
          <w:rFonts w:ascii="Times New Roman" w:hAnsi="Times New Roman" w:cs="Times New Roman"/>
          <w:lang w:val="mn-MN"/>
        </w:rPr>
      </w:pPr>
      <w:r>
        <w:rPr>
          <w:rFonts w:ascii="Times New Roman" w:hAnsi="Times New Roman" w:cs="Times New Roman"/>
          <w:lang w:val="mn-MN"/>
        </w:rPr>
        <w:tab/>
        <w:t xml:space="preserve">   </w:t>
      </w:r>
      <w:r w:rsidR="008B314C">
        <w:rPr>
          <w:rFonts w:ascii="Times New Roman" w:hAnsi="Times New Roman" w:cs="Times New Roman"/>
          <w:lang w:val="mn-MN"/>
        </w:rPr>
        <w:tab/>
      </w:r>
      <w:r w:rsidR="008B314C">
        <w:rPr>
          <w:rFonts w:ascii="Times New Roman" w:hAnsi="Times New Roman" w:cs="Times New Roman"/>
          <w:lang w:val="mn-MN"/>
        </w:rPr>
        <w:tab/>
      </w:r>
    </w:p>
    <w:p w14:paraId="0677F7B6" w14:textId="3784FD82" w:rsidR="008E0DD3" w:rsidRDefault="008E0DD3" w:rsidP="008E0DD3">
      <w:pPr>
        <w:tabs>
          <w:tab w:val="left" w:pos="4696"/>
        </w:tabs>
        <w:rPr>
          <w:rFonts w:ascii="Times New Roman" w:hAnsi="Times New Roman" w:cs="Times New Roman"/>
          <w:lang w:val="mn-MN"/>
        </w:rPr>
      </w:pPr>
      <w:r>
        <w:rPr>
          <w:rFonts w:ascii="Times New Roman" w:hAnsi="Times New Roman" w:cs="Times New Roman"/>
          <w:lang w:val="mn-MN"/>
        </w:rPr>
        <w:tab/>
      </w:r>
    </w:p>
    <w:p w14:paraId="5B85B840" w14:textId="77777777" w:rsidR="00B04C5A" w:rsidRDefault="00B04C5A" w:rsidP="008E0DD3">
      <w:pPr>
        <w:tabs>
          <w:tab w:val="left" w:pos="4696"/>
        </w:tabs>
        <w:rPr>
          <w:rFonts w:ascii="Times New Roman" w:hAnsi="Times New Roman" w:cs="Times New Roman"/>
          <w:lang w:val="mn-MN"/>
        </w:rPr>
      </w:pPr>
    </w:p>
    <w:p w14:paraId="23D5A8E6" w14:textId="77777777" w:rsidR="00B04C5A" w:rsidRDefault="00B04C5A" w:rsidP="008E0DD3">
      <w:pPr>
        <w:tabs>
          <w:tab w:val="left" w:pos="4696"/>
        </w:tabs>
        <w:rPr>
          <w:rFonts w:ascii="Times New Roman" w:hAnsi="Times New Roman" w:cs="Times New Roman"/>
          <w:lang w:val="mn-MN"/>
        </w:rPr>
      </w:pPr>
    </w:p>
    <w:p w14:paraId="31A89D35" w14:textId="3DFA9A9E" w:rsidR="008E0DD3" w:rsidRPr="00B04C5A" w:rsidRDefault="008E0DD3" w:rsidP="00B04C5A">
      <w:pPr>
        <w:pStyle w:val="ListParagraph"/>
        <w:numPr>
          <w:ilvl w:val="0"/>
          <w:numId w:val="1"/>
        </w:numPr>
        <w:jc w:val="both"/>
        <w:rPr>
          <w:rFonts w:ascii="Times New Roman" w:hAnsi="Times New Roman" w:cs="Times New Roman"/>
          <w:i/>
          <w:iCs/>
          <w:color w:val="1F3864" w:themeColor="accent1" w:themeShade="80"/>
          <w:lang w:val="mn-MN"/>
        </w:rPr>
      </w:pPr>
      <w:r w:rsidRPr="00B04C5A">
        <w:rPr>
          <w:rFonts w:ascii="Times New Roman" w:hAnsi="Times New Roman" w:cs="Times New Roman"/>
          <w:i/>
          <w:iCs/>
          <w:color w:val="1F3864" w:themeColor="accent1" w:themeShade="80"/>
          <w:lang w:val="mn-MN"/>
        </w:rPr>
        <w:t xml:space="preserve">Төмрийн </w:t>
      </w:r>
      <w:r w:rsidR="00C700BE">
        <w:rPr>
          <w:rFonts w:ascii="Times New Roman" w:hAnsi="Times New Roman" w:cs="Times New Roman"/>
          <w:i/>
          <w:iCs/>
          <w:color w:val="1F3864" w:themeColor="accent1" w:themeShade="80"/>
          <w:lang w:val="mn-MN"/>
        </w:rPr>
        <w:t xml:space="preserve">хүдэр, </w:t>
      </w:r>
      <w:r w:rsidR="004112FB" w:rsidRPr="00B04C5A">
        <w:rPr>
          <w:rFonts w:ascii="Times New Roman" w:hAnsi="Times New Roman" w:cs="Times New Roman"/>
          <w:i/>
          <w:iCs/>
          <w:color w:val="1F3864" w:themeColor="accent1" w:themeShade="80"/>
          <w:lang w:val="mn-MN"/>
        </w:rPr>
        <w:t xml:space="preserve">баяжмалын </w:t>
      </w:r>
      <w:r w:rsidRPr="00B04C5A">
        <w:rPr>
          <w:rFonts w:ascii="Times New Roman" w:hAnsi="Times New Roman" w:cs="Times New Roman"/>
          <w:i/>
          <w:iCs/>
          <w:color w:val="1F3864" w:themeColor="accent1" w:themeShade="80"/>
          <w:lang w:val="mn-MN"/>
        </w:rPr>
        <w:t>арилжаа</w:t>
      </w:r>
    </w:p>
    <w:p w14:paraId="360AD1DA" w14:textId="0558F76F" w:rsidR="008E0DD3" w:rsidRDefault="008E0DD3" w:rsidP="00DB34F7">
      <w:pPr>
        <w:ind w:firstLine="720"/>
        <w:jc w:val="both"/>
        <w:rPr>
          <w:rFonts w:ascii="Times New Roman" w:hAnsi="Times New Roman" w:cs="Times New Roman"/>
          <w:lang w:val="mn-MN"/>
        </w:rPr>
      </w:pPr>
      <w:r w:rsidRPr="00DB34F7">
        <w:rPr>
          <w:rFonts w:ascii="Times New Roman" w:hAnsi="Times New Roman" w:cs="Times New Roman"/>
          <w:lang w:val="mn-MN"/>
        </w:rPr>
        <w:t xml:space="preserve">Улсын Их Хурлаас Уул уурхайн бүтээгдэхүүний биржийн тухай хууль баталж 2023 оны 6 дугаар сарын 30 – ны өдрөөс хүчин төгөлдөр мөрдөж эхэлсэн. </w:t>
      </w:r>
      <w:r w:rsidRPr="00DB34F7">
        <w:rPr>
          <w:rFonts w:ascii="Times New Roman" w:hAnsi="Times New Roman" w:cs="Times New Roman"/>
        </w:rPr>
        <w:t>“</w:t>
      </w:r>
      <w:r w:rsidRPr="00DB34F7">
        <w:rPr>
          <w:rFonts w:ascii="Times New Roman" w:hAnsi="Times New Roman" w:cs="Times New Roman"/>
          <w:lang w:val="mn-MN"/>
        </w:rPr>
        <w:t>Монголын хөрөнгийн бирж</w:t>
      </w:r>
      <w:r w:rsidRPr="00DB34F7">
        <w:rPr>
          <w:rFonts w:ascii="Times New Roman" w:hAnsi="Times New Roman" w:cs="Times New Roman"/>
        </w:rPr>
        <w:t>”</w:t>
      </w:r>
      <w:r w:rsidRPr="00DB34F7">
        <w:rPr>
          <w:rFonts w:ascii="Times New Roman" w:hAnsi="Times New Roman" w:cs="Times New Roman"/>
          <w:lang w:val="mn-MN"/>
        </w:rPr>
        <w:t xml:space="preserve"> ХК – ийн ТУЗ – ийн 2023 оны 9 дүгээр сарын 4-ний өдрийн 31 дүгээр тогтоолоор </w:t>
      </w:r>
      <w:r w:rsidRPr="00DB34F7">
        <w:rPr>
          <w:rFonts w:ascii="Times New Roman" w:hAnsi="Times New Roman" w:cs="Times New Roman"/>
        </w:rPr>
        <w:t>“</w:t>
      </w:r>
      <w:r w:rsidRPr="00DB34F7">
        <w:rPr>
          <w:rFonts w:ascii="Times New Roman" w:hAnsi="Times New Roman" w:cs="Times New Roman"/>
          <w:lang w:val="mn-MN"/>
        </w:rPr>
        <w:t>Төмрийн хүдэр, баяжмалын арилжааны гэрээний стандартыг тогтоох, мөрдүүлэх журам</w:t>
      </w:r>
      <w:r w:rsidRPr="00DB34F7">
        <w:rPr>
          <w:rFonts w:ascii="Times New Roman" w:hAnsi="Times New Roman" w:cs="Times New Roman"/>
        </w:rPr>
        <w:t>”</w:t>
      </w:r>
      <w:r w:rsidRPr="00DB34F7">
        <w:rPr>
          <w:rFonts w:ascii="Times New Roman" w:hAnsi="Times New Roman" w:cs="Times New Roman"/>
          <w:lang w:val="mn-MN"/>
        </w:rPr>
        <w:t xml:space="preserve">-ыг баталсан бөгөөд </w:t>
      </w:r>
      <w:r w:rsidRPr="00DB34F7">
        <w:rPr>
          <w:rFonts w:ascii="Times New Roman" w:hAnsi="Times New Roman" w:cs="Times New Roman"/>
        </w:rPr>
        <w:t>“</w:t>
      </w:r>
      <w:r w:rsidRPr="00DB34F7">
        <w:rPr>
          <w:rFonts w:ascii="Times New Roman" w:hAnsi="Times New Roman" w:cs="Times New Roman"/>
          <w:lang w:val="mn-MN"/>
        </w:rPr>
        <w:t>Монголросцвет</w:t>
      </w:r>
      <w:r w:rsidR="00DB34F7" w:rsidRPr="00DB34F7">
        <w:rPr>
          <w:rFonts w:ascii="Times New Roman" w:hAnsi="Times New Roman" w:cs="Times New Roman"/>
          <w:lang w:val="mn-MN"/>
        </w:rPr>
        <w:t>мет</w:t>
      </w:r>
      <w:r w:rsidRPr="00DB34F7">
        <w:rPr>
          <w:rFonts w:ascii="Times New Roman" w:hAnsi="Times New Roman" w:cs="Times New Roman"/>
        </w:rPr>
        <w:t>”</w:t>
      </w:r>
      <w:r w:rsidR="00DB34F7" w:rsidRPr="00DB34F7">
        <w:rPr>
          <w:rFonts w:ascii="Times New Roman" w:hAnsi="Times New Roman" w:cs="Times New Roman"/>
          <w:lang w:val="mn-MN"/>
        </w:rPr>
        <w:t xml:space="preserve"> ТӨҮГ, </w:t>
      </w:r>
      <w:r w:rsidR="00DB34F7" w:rsidRPr="00DB34F7">
        <w:rPr>
          <w:rFonts w:ascii="Times New Roman" w:hAnsi="Times New Roman" w:cs="Times New Roman"/>
        </w:rPr>
        <w:t>“</w:t>
      </w:r>
      <w:r w:rsidR="00DB34F7" w:rsidRPr="00DB34F7">
        <w:rPr>
          <w:rFonts w:ascii="Times New Roman" w:hAnsi="Times New Roman" w:cs="Times New Roman"/>
          <w:lang w:val="mn-MN"/>
        </w:rPr>
        <w:t>Дарханы төмөрлөгийн үйлдвэр</w:t>
      </w:r>
      <w:r w:rsidR="00DB34F7" w:rsidRPr="00DB34F7">
        <w:rPr>
          <w:rFonts w:ascii="Times New Roman" w:hAnsi="Times New Roman" w:cs="Times New Roman"/>
        </w:rPr>
        <w:t>”</w:t>
      </w:r>
      <w:r w:rsidR="00DB34F7" w:rsidRPr="00DB34F7">
        <w:rPr>
          <w:rFonts w:ascii="Times New Roman" w:hAnsi="Times New Roman" w:cs="Times New Roman"/>
          <w:lang w:val="mn-MN"/>
        </w:rPr>
        <w:t xml:space="preserve"> Х</w:t>
      </w:r>
      <w:r w:rsidR="00C215B2">
        <w:rPr>
          <w:rFonts w:ascii="Times New Roman" w:hAnsi="Times New Roman" w:cs="Times New Roman"/>
          <w:lang w:val="mn-MN"/>
        </w:rPr>
        <w:t>Х</w:t>
      </w:r>
      <w:r w:rsidR="00DB34F7" w:rsidRPr="00DB34F7">
        <w:rPr>
          <w:rFonts w:ascii="Times New Roman" w:hAnsi="Times New Roman" w:cs="Times New Roman"/>
          <w:lang w:val="mn-MN"/>
        </w:rPr>
        <w:t>К худалдагчаар бүртгүүлж, гэрээ байгуулсан</w:t>
      </w:r>
      <w:r w:rsidR="00C700BE">
        <w:rPr>
          <w:rFonts w:ascii="Times New Roman" w:hAnsi="Times New Roman" w:cs="Times New Roman"/>
          <w:lang w:val="mn-MN"/>
        </w:rPr>
        <w:t xml:space="preserve">аар </w:t>
      </w:r>
      <w:r w:rsidR="00DB34F7" w:rsidRPr="00DB34F7">
        <w:rPr>
          <w:rFonts w:ascii="Times New Roman" w:hAnsi="Times New Roman" w:cs="Times New Roman"/>
          <w:lang w:val="mn-MN"/>
        </w:rPr>
        <w:t>ту</w:t>
      </w:r>
      <w:r w:rsidR="00683E4E">
        <w:rPr>
          <w:rFonts w:ascii="Times New Roman" w:hAnsi="Times New Roman" w:cs="Times New Roman"/>
          <w:lang w:val="mn-MN"/>
        </w:rPr>
        <w:t xml:space="preserve">с </w:t>
      </w:r>
      <w:r w:rsidR="00DB34F7" w:rsidRPr="00DB34F7">
        <w:rPr>
          <w:rFonts w:ascii="Times New Roman" w:hAnsi="Times New Roman" w:cs="Times New Roman"/>
          <w:lang w:val="mn-MN"/>
        </w:rPr>
        <w:t xml:space="preserve">компаниудын захиалгыг хүлээн авч, 2023 оны 9 дүгээр сарын 15-ны өдөр </w:t>
      </w:r>
      <w:r w:rsidR="00C215B2">
        <w:rPr>
          <w:rFonts w:ascii="Times New Roman" w:hAnsi="Times New Roman" w:cs="Times New Roman"/>
          <w:lang w:val="mn-MN"/>
        </w:rPr>
        <w:t xml:space="preserve">анхны </w:t>
      </w:r>
      <w:r w:rsidR="00DB34F7" w:rsidRPr="00DB34F7">
        <w:rPr>
          <w:rFonts w:ascii="Times New Roman" w:hAnsi="Times New Roman" w:cs="Times New Roman"/>
          <w:lang w:val="mn-MN"/>
        </w:rPr>
        <w:t xml:space="preserve">төмрийн хүдэр, баяжмалын арилжааг </w:t>
      </w:r>
      <w:r w:rsidR="00C215B2">
        <w:rPr>
          <w:rFonts w:ascii="Times New Roman" w:hAnsi="Times New Roman" w:cs="Times New Roman"/>
          <w:lang w:val="mn-MN"/>
        </w:rPr>
        <w:t xml:space="preserve">амжилттай </w:t>
      </w:r>
      <w:r w:rsidR="00DB34F7" w:rsidRPr="00DB34F7">
        <w:rPr>
          <w:rFonts w:ascii="Times New Roman" w:hAnsi="Times New Roman" w:cs="Times New Roman"/>
          <w:lang w:val="mn-MN"/>
        </w:rPr>
        <w:t xml:space="preserve">зохион байгуулсан. </w:t>
      </w:r>
    </w:p>
    <w:p w14:paraId="3FC45892" w14:textId="28097566" w:rsidR="000B3EFF" w:rsidRPr="00683E4E" w:rsidRDefault="000B3EFF" w:rsidP="00A12EA8">
      <w:pPr>
        <w:spacing w:after="0"/>
        <w:ind w:firstLine="720"/>
        <w:jc w:val="center"/>
        <w:rPr>
          <w:rFonts w:ascii="Times New Roman" w:hAnsi="Times New Roman" w:cs="Times New Roman"/>
          <w:i/>
          <w:iCs/>
          <w:color w:val="2F5496" w:themeColor="accent1" w:themeShade="BF"/>
          <w:sz w:val="16"/>
          <w:szCs w:val="16"/>
          <w:lang w:val="mn-MN"/>
        </w:rPr>
      </w:pPr>
      <w:r w:rsidRPr="00683E4E">
        <w:rPr>
          <w:rFonts w:ascii="Times New Roman" w:hAnsi="Times New Roman" w:cs="Times New Roman"/>
          <w:i/>
          <w:iCs/>
          <w:color w:val="2F5496" w:themeColor="accent1" w:themeShade="BF"/>
          <w:sz w:val="16"/>
          <w:szCs w:val="16"/>
          <w:lang w:val="mn-MN"/>
        </w:rPr>
        <w:t>График</w:t>
      </w:r>
      <w:r w:rsidR="00F80092">
        <w:rPr>
          <w:rFonts w:ascii="Times New Roman" w:hAnsi="Times New Roman" w:cs="Times New Roman"/>
          <w:i/>
          <w:iCs/>
          <w:color w:val="2F5496" w:themeColor="accent1" w:themeShade="BF"/>
          <w:sz w:val="16"/>
          <w:szCs w:val="16"/>
          <w:lang w:val="mn-MN"/>
        </w:rPr>
        <w:t>5</w:t>
      </w:r>
      <w:r w:rsidRPr="00683E4E">
        <w:rPr>
          <w:rFonts w:ascii="Times New Roman" w:hAnsi="Times New Roman" w:cs="Times New Roman"/>
          <w:i/>
          <w:iCs/>
          <w:color w:val="2F5496" w:themeColor="accent1" w:themeShade="BF"/>
          <w:sz w:val="16"/>
          <w:szCs w:val="16"/>
          <w:lang w:val="mn-MN"/>
        </w:rPr>
        <w:t xml:space="preserve">. 2023 онд арилжигдсан </w:t>
      </w:r>
      <w:r w:rsidR="007C1543">
        <w:rPr>
          <w:rFonts w:ascii="Times New Roman" w:hAnsi="Times New Roman" w:cs="Times New Roman"/>
          <w:i/>
          <w:iCs/>
          <w:color w:val="2F5496" w:themeColor="accent1" w:themeShade="BF"/>
          <w:sz w:val="16"/>
          <w:szCs w:val="16"/>
          <w:lang w:val="mn-MN"/>
        </w:rPr>
        <w:t>төмрийн хүдэр, баяжмал</w:t>
      </w:r>
      <w:r w:rsidR="00683E4E" w:rsidRPr="00683E4E">
        <w:rPr>
          <w:rFonts w:ascii="Times New Roman" w:hAnsi="Times New Roman" w:cs="Times New Roman"/>
          <w:i/>
          <w:iCs/>
          <w:color w:val="2F5496" w:themeColor="accent1" w:themeShade="BF"/>
          <w:sz w:val="16"/>
          <w:szCs w:val="16"/>
          <w:lang w:val="mn-MN"/>
        </w:rPr>
        <w:t>.</w:t>
      </w:r>
    </w:p>
    <w:p w14:paraId="2D0EBC05" w14:textId="08B65678" w:rsidR="000B3EFF" w:rsidRPr="00DB34F7" w:rsidRDefault="00AC457F" w:rsidP="00DB34F7">
      <w:pPr>
        <w:ind w:firstLine="720"/>
        <w:jc w:val="both"/>
        <w:rPr>
          <w:rFonts w:ascii="Times New Roman" w:hAnsi="Times New Roman" w:cs="Times New Roman"/>
          <w:lang w:val="mn-MN"/>
        </w:rPr>
      </w:pPr>
      <w:r w:rsidRPr="004D5A5D">
        <w:rPr>
          <w:rFonts w:ascii="Times New Roman" w:hAnsi="Times New Roman" w:cs="Times New Roman"/>
          <w:noProof/>
          <w:lang w:val="mn-MN"/>
        </w:rPr>
        <w:drawing>
          <wp:anchor distT="0" distB="0" distL="114300" distR="114300" simplePos="0" relativeHeight="251662336" behindDoc="1" locked="0" layoutInCell="1" allowOverlap="1" wp14:anchorId="533DC545" wp14:editId="5F198A88">
            <wp:simplePos x="0" y="0"/>
            <wp:positionH relativeFrom="margin">
              <wp:posOffset>1299817</wp:posOffset>
            </wp:positionH>
            <wp:positionV relativeFrom="paragraph">
              <wp:posOffset>36857</wp:posOffset>
            </wp:positionV>
            <wp:extent cx="4460240" cy="2258060"/>
            <wp:effectExtent l="0" t="0" r="16510" b="8890"/>
            <wp:wrapTight wrapText="bothSides">
              <wp:wrapPolygon edited="0">
                <wp:start x="0" y="0"/>
                <wp:lineTo x="0" y="21503"/>
                <wp:lineTo x="21588" y="21503"/>
                <wp:lineTo x="21588" y="0"/>
                <wp:lineTo x="0" y="0"/>
              </wp:wrapPolygon>
            </wp:wrapTight>
            <wp:docPr id="72935200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6E38CBF" w14:textId="77777777" w:rsidR="00AC457F" w:rsidRDefault="00AC457F" w:rsidP="00DB34F7">
      <w:pPr>
        <w:tabs>
          <w:tab w:val="left" w:pos="4696"/>
        </w:tabs>
        <w:jc w:val="both"/>
        <w:rPr>
          <w:rFonts w:ascii="Times New Roman" w:hAnsi="Times New Roman" w:cs="Times New Roman"/>
          <w:lang w:val="mn-MN"/>
        </w:rPr>
      </w:pPr>
    </w:p>
    <w:p w14:paraId="19D6FE21" w14:textId="77777777" w:rsidR="00AC457F" w:rsidRDefault="00AC457F" w:rsidP="00DB34F7">
      <w:pPr>
        <w:tabs>
          <w:tab w:val="left" w:pos="4696"/>
        </w:tabs>
        <w:jc w:val="both"/>
        <w:rPr>
          <w:rFonts w:ascii="Times New Roman" w:hAnsi="Times New Roman" w:cs="Times New Roman"/>
          <w:lang w:val="mn-MN"/>
        </w:rPr>
      </w:pPr>
    </w:p>
    <w:p w14:paraId="13C96360" w14:textId="77777777" w:rsidR="00AC457F" w:rsidRDefault="00AC457F" w:rsidP="00DB34F7">
      <w:pPr>
        <w:tabs>
          <w:tab w:val="left" w:pos="4696"/>
        </w:tabs>
        <w:jc w:val="both"/>
        <w:rPr>
          <w:rFonts w:ascii="Times New Roman" w:hAnsi="Times New Roman" w:cs="Times New Roman"/>
          <w:lang w:val="mn-MN"/>
        </w:rPr>
      </w:pPr>
    </w:p>
    <w:p w14:paraId="0E201F39" w14:textId="77777777" w:rsidR="00AC457F" w:rsidRDefault="00AC457F" w:rsidP="00DB34F7">
      <w:pPr>
        <w:tabs>
          <w:tab w:val="left" w:pos="4696"/>
        </w:tabs>
        <w:jc w:val="both"/>
        <w:rPr>
          <w:rFonts w:ascii="Times New Roman" w:hAnsi="Times New Roman" w:cs="Times New Roman"/>
          <w:lang w:val="mn-MN"/>
        </w:rPr>
      </w:pPr>
    </w:p>
    <w:p w14:paraId="095F8B23" w14:textId="77777777" w:rsidR="00AC457F" w:rsidRDefault="00AC457F" w:rsidP="00DB34F7">
      <w:pPr>
        <w:tabs>
          <w:tab w:val="left" w:pos="4696"/>
        </w:tabs>
        <w:jc w:val="both"/>
        <w:rPr>
          <w:rFonts w:ascii="Times New Roman" w:hAnsi="Times New Roman" w:cs="Times New Roman"/>
          <w:lang w:val="mn-MN"/>
        </w:rPr>
      </w:pPr>
    </w:p>
    <w:p w14:paraId="344AEBEF" w14:textId="77777777" w:rsidR="00AC457F" w:rsidRDefault="00AC457F" w:rsidP="00DB34F7">
      <w:pPr>
        <w:tabs>
          <w:tab w:val="left" w:pos="4696"/>
        </w:tabs>
        <w:jc w:val="both"/>
        <w:rPr>
          <w:rFonts w:ascii="Times New Roman" w:hAnsi="Times New Roman" w:cs="Times New Roman"/>
          <w:lang w:val="mn-MN"/>
        </w:rPr>
      </w:pPr>
    </w:p>
    <w:p w14:paraId="3FC7DE82" w14:textId="77777777" w:rsidR="00AD48EE" w:rsidRDefault="00AD48EE" w:rsidP="00DB34F7">
      <w:pPr>
        <w:tabs>
          <w:tab w:val="left" w:pos="4696"/>
        </w:tabs>
        <w:jc w:val="both"/>
        <w:rPr>
          <w:rFonts w:ascii="Times New Roman" w:hAnsi="Times New Roman" w:cs="Times New Roman"/>
          <w:lang w:val="mn-MN"/>
        </w:rPr>
      </w:pPr>
    </w:p>
    <w:p w14:paraId="091F9741" w14:textId="77777777" w:rsidR="00AD48EE" w:rsidRDefault="00AD48EE" w:rsidP="00DB34F7">
      <w:pPr>
        <w:tabs>
          <w:tab w:val="left" w:pos="4696"/>
        </w:tabs>
        <w:jc w:val="both"/>
        <w:rPr>
          <w:rFonts w:ascii="Times New Roman" w:hAnsi="Times New Roman" w:cs="Times New Roman"/>
          <w:lang w:val="mn-MN"/>
        </w:rPr>
      </w:pPr>
    </w:p>
    <w:p w14:paraId="6C909CAA" w14:textId="77777777" w:rsidR="00AD48EE" w:rsidRDefault="00AD48EE" w:rsidP="00DB34F7">
      <w:pPr>
        <w:tabs>
          <w:tab w:val="left" w:pos="4696"/>
        </w:tabs>
        <w:jc w:val="both"/>
        <w:rPr>
          <w:rFonts w:ascii="Times New Roman" w:hAnsi="Times New Roman" w:cs="Times New Roman"/>
          <w:lang w:val="mn-MN"/>
        </w:rPr>
      </w:pPr>
    </w:p>
    <w:p w14:paraId="0E37D566" w14:textId="77777777" w:rsidR="00AD48EE" w:rsidRDefault="00AD48EE" w:rsidP="00DB34F7">
      <w:pPr>
        <w:tabs>
          <w:tab w:val="left" w:pos="4696"/>
        </w:tabs>
        <w:jc w:val="both"/>
        <w:rPr>
          <w:rFonts w:ascii="Times New Roman" w:hAnsi="Times New Roman" w:cs="Times New Roman"/>
          <w:lang w:val="mn-MN"/>
        </w:rPr>
      </w:pPr>
    </w:p>
    <w:p w14:paraId="7E7DDF48" w14:textId="789822C0" w:rsidR="007C1543" w:rsidRDefault="00AD48EE" w:rsidP="007C1543">
      <w:pPr>
        <w:tabs>
          <w:tab w:val="left" w:pos="4696"/>
        </w:tabs>
        <w:spacing w:after="0"/>
        <w:jc w:val="both"/>
        <w:rPr>
          <w:rFonts w:ascii="Times New Roman" w:hAnsi="Times New Roman" w:cs="Times New Roman"/>
          <w:i/>
          <w:iCs/>
          <w:color w:val="1F3864" w:themeColor="accent1" w:themeShade="80"/>
          <w:sz w:val="16"/>
          <w:szCs w:val="16"/>
          <w:lang w:val="mn-MN"/>
        </w:rPr>
      </w:pPr>
      <w:r w:rsidRPr="00FA236B">
        <w:rPr>
          <w:rFonts w:ascii="Times New Roman" w:hAnsi="Times New Roman" w:cs="Times New Roman"/>
          <w:i/>
          <w:iCs/>
          <w:noProof/>
          <w:color w:val="1F3864" w:themeColor="accent1" w:themeShade="80"/>
          <w:sz w:val="16"/>
          <w:szCs w:val="16"/>
          <w:lang w:val="mn-MN"/>
        </w:rPr>
        <w:lastRenderedPageBreak/>
        <w:drawing>
          <wp:anchor distT="0" distB="0" distL="114300" distR="114300" simplePos="0" relativeHeight="251661312" behindDoc="1" locked="0" layoutInCell="1" allowOverlap="1" wp14:anchorId="7247306E" wp14:editId="4A9755B2">
            <wp:simplePos x="0" y="0"/>
            <wp:positionH relativeFrom="margin">
              <wp:posOffset>3378200</wp:posOffset>
            </wp:positionH>
            <wp:positionV relativeFrom="paragraph">
              <wp:posOffset>171450</wp:posOffset>
            </wp:positionV>
            <wp:extent cx="3543300" cy="1892300"/>
            <wp:effectExtent l="0" t="0" r="0" b="12700"/>
            <wp:wrapTight wrapText="bothSides">
              <wp:wrapPolygon edited="0">
                <wp:start x="0" y="0"/>
                <wp:lineTo x="0" y="21528"/>
                <wp:lineTo x="21484" y="21528"/>
                <wp:lineTo x="21484" y="0"/>
                <wp:lineTo x="0" y="0"/>
              </wp:wrapPolygon>
            </wp:wrapTight>
            <wp:docPr id="973416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92310">
        <w:rPr>
          <w:rFonts w:ascii="Times New Roman" w:hAnsi="Times New Roman" w:cs="Times New Roman"/>
          <w:lang w:val="mn-MN"/>
        </w:rPr>
        <w:t xml:space="preserve">2023 онд нийт 95 удаагийн </w:t>
      </w:r>
      <w:r w:rsidR="007C1543">
        <w:rPr>
          <w:rFonts w:ascii="Times New Roman" w:hAnsi="Times New Roman" w:cs="Times New Roman"/>
          <w:lang w:val="mn-MN"/>
        </w:rPr>
        <w:t xml:space="preserve">арилжаагаар 677.4 мянган тонн        </w:t>
      </w:r>
      <w:bookmarkStart w:id="4" w:name="_Hlk155941761"/>
      <w:r w:rsidR="007C1543" w:rsidRPr="00AD48EE">
        <w:rPr>
          <w:rFonts w:ascii="Times New Roman" w:hAnsi="Times New Roman" w:cs="Times New Roman"/>
          <w:i/>
          <w:iCs/>
          <w:color w:val="1F3864" w:themeColor="accent1" w:themeShade="80"/>
          <w:sz w:val="16"/>
          <w:szCs w:val="16"/>
          <w:lang w:val="mn-MN"/>
        </w:rPr>
        <w:t>График</w:t>
      </w:r>
      <w:r w:rsidR="007C1543">
        <w:rPr>
          <w:rFonts w:ascii="Times New Roman" w:hAnsi="Times New Roman" w:cs="Times New Roman"/>
          <w:i/>
          <w:iCs/>
          <w:color w:val="1F3864" w:themeColor="accent1" w:themeShade="80"/>
          <w:sz w:val="16"/>
          <w:szCs w:val="16"/>
          <w:lang w:val="mn-MN"/>
        </w:rPr>
        <w:t>6</w:t>
      </w:r>
      <w:r w:rsidR="007C1543" w:rsidRPr="00AD48EE">
        <w:rPr>
          <w:rFonts w:ascii="Times New Roman" w:hAnsi="Times New Roman" w:cs="Times New Roman"/>
          <w:i/>
          <w:iCs/>
          <w:color w:val="1F3864" w:themeColor="accent1" w:themeShade="80"/>
          <w:sz w:val="16"/>
          <w:szCs w:val="16"/>
          <w:lang w:val="mn-MN"/>
        </w:rPr>
        <w:t>. 2023онд арилжигдсан төм</w:t>
      </w:r>
      <w:bookmarkEnd w:id="4"/>
      <w:r w:rsidR="00D55341">
        <w:rPr>
          <w:rFonts w:ascii="Times New Roman" w:hAnsi="Times New Roman" w:cs="Times New Roman"/>
          <w:i/>
          <w:iCs/>
          <w:color w:val="1F3864" w:themeColor="accent1" w:themeShade="80"/>
          <w:sz w:val="16"/>
          <w:szCs w:val="16"/>
          <w:lang w:val="mn-MN"/>
        </w:rPr>
        <w:t>рийн хүдэр, баяжмал</w:t>
      </w:r>
    </w:p>
    <w:p w14:paraId="599F89B1" w14:textId="2ECF1D79" w:rsidR="007C1543" w:rsidRPr="000300C9" w:rsidRDefault="007C1543" w:rsidP="00AD48EE">
      <w:pPr>
        <w:tabs>
          <w:tab w:val="left" w:pos="4696"/>
        </w:tabs>
        <w:spacing w:after="0"/>
        <w:jc w:val="both"/>
        <w:rPr>
          <w:rFonts w:ascii="Times New Roman" w:hAnsi="Times New Roman" w:cs="Times New Roman"/>
        </w:rPr>
      </w:pPr>
      <w:r>
        <w:rPr>
          <w:rFonts w:ascii="Times New Roman" w:hAnsi="Times New Roman" w:cs="Times New Roman"/>
          <w:lang w:val="mn-MN"/>
        </w:rPr>
        <w:t xml:space="preserve">төмрийн хүдэр, баяжмалыг 196.2 тэрбум төгрөгөөр буюу </w:t>
      </w:r>
      <w:r>
        <w:rPr>
          <w:rFonts w:ascii="Times New Roman" w:hAnsi="Times New Roman" w:cs="Times New Roman"/>
        </w:rPr>
        <w:t xml:space="preserve">57.5 </w:t>
      </w:r>
      <w:r>
        <w:rPr>
          <w:rFonts w:ascii="Times New Roman" w:hAnsi="Times New Roman" w:cs="Times New Roman"/>
          <w:lang w:val="mn-MN"/>
        </w:rPr>
        <w:t>сая ам.доллараар арилжсан</w:t>
      </w:r>
      <w:r w:rsidR="006C43F3">
        <w:rPr>
          <w:rFonts w:ascii="Times New Roman" w:hAnsi="Times New Roman" w:cs="Times New Roman"/>
          <w:lang w:val="mn-MN"/>
        </w:rPr>
        <w:t xml:space="preserve">. </w:t>
      </w:r>
      <w:r w:rsidR="000300C9">
        <w:rPr>
          <w:rFonts w:ascii="Times New Roman" w:hAnsi="Times New Roman" w:cs="Times New Roman"/>
          <w:lang w:val="mn-MN"/>
        </w:rPr>
        <w:t>Үүнд</w:t>
      </w:r>
      <w:r w:rsidR="000300C9">
        <w:rPr>
          <w:rFonts w:ascii="Times New Roman" w:hAnsi="Times New Roman" w:cs="Times New Roman"/>
        </w:rPr>
        <w:t>:</w:t>
      </w:r>
    </w:p>
    <w:p w14:paraId="2A173230" w14:textId="1DC36F3C" w:rsidR="003F7C28" w:rsidRPr="000300C9" w:rsidRDefault="00AF4300" w:rsidP="00AD48EE">
      <w:pPr>
        <w:tabs>
          <w:tab w:val="left" w:pos="4696"/>
        </w:tabs>
        <w:spacing w:after="0"/>
        <w:jc w:val="both"/>
        <w:rPr>
          <w:rFonts w:ascii="Times New Roman" w:hAnsi="Times New Roman" w:cs="Times New Roman"/>
          <w:i/>
          <w:iCs/>
          <w:color w:val="1F3864" w:themeColor="accent1" w:themeShade="80"/>
          <w:sz w:val="16"/>
          <w:szCs w:val="16"/>
          <w:lang w:val="mn-MN"/>
        </w:rPr>
      </w:pPr>
      <w:r>
        <w:rPr>
          <w:rFonts w:ascii="Times New Roman" w:hAnsi="Times New Roman" w:cs="Times New Roman"/>
          <w:lang w:val="mn-MN"/>
        </w:rPr>
        <w:t>448,700 тонн буюу 134.72 тэрбум төгрөгийн төмрийн баяжмал, 228,750 тонн буюу 61.48 тэрбум төгрөгийн төмрийн хүд</w:t>
      </w:r>
      <w:r w:rsidR="000300C9">
        <w:rPr>
          <w:rFonts w:ascii="Times New Roman" w:hAnsi="Times New Roman" w:cs="Times New Roman"/>
          <w:lang w:val="mn-MN"/>
        </w:rPr>
        <w:t xml:space="preserve">эр </w:t>
      </w:r>
      <w:r>
        <w:rPr>
          <w:rFonts w:ascii="Times New Roman" w:hAnsi="Times New Roman" w:cs="Times New Roman"/>
          <w:lang w:val="mn-MN"/>
        </w:rPr>
        <w:t xml:space="preserve">тус тус </w:t>
      </w:r>
      <w:r w:rsidR="000300C9">
        <w:rPr>
          <w:rFonts w:ascii="Times New Roman" w:hAnsi="Times New Roman" w:cs="Times New Roman"/>
          <w:lang w:val="mn-MN"/>
        </w:rPr>
        <w:t>арилжигдсан байна.</w:t>
      </w:r>
      <w:r>
        <w:rPr>
          <w:rFonts w:ascii="Times New Roman" w:hAnsi="Times New Roman" w:cs="Times New Roman"/>
          <w:lang w:val="mn-MN"/>
        </w:rPr>
        <w:t xml:space="preserve"> </w:t>
      </w:r>
      <w:r w:rsidR="000300C9">
        <w:rPr>
          <w:rFonts w:ascii="Times New Roman" w:hAnsi="Times New Roman" w:cs="Times New Roman"/>
          <w:lang w:val="mn-MN"/>
        </w:rPr>
        <w:t>Тодруулбал</w:t>
      </w:r>
      <w:r w:rsidR="000300C9">
        <w:rPr>
          <w:rFonts w:ascii="Times New Roman" w:hAnsi="Times New Roman" w:cs="Times New Roman"/>
        </w:rPr>
        <w:t xml:space="preserve">: </w:t>
      </w:r>
      <w:r>
        <w:rPr>
          <w:rFonts w:ascii="Times New Roman" w:hAnsi="Times New Roman" w:cs="Times New Roman"/>
        </w:rPr>
        <w:t>Fe – 65%</w:t>
      </w:r>
      <w:r w:rsidR="00F5759D">
        <w:rPr>
          <w:rFonts w:ascii="Times New Roman" w:hAnsi="Times New Roman" w:cs="Times New Roman"/>
          <w:lang w:val="mn-MN"/>
        </w:rPr>
        <w:t>-ийн</w:t>
      </w:r>
      <w:r>
        <w:rPr>
          <w:rFonts w:ascii="Times New Roman" w:hAnsi="Times New Roman" w:cs="Times New Roman"/>
        </w:rPr>
        <w:t xml:space="preserve"> </w:t>
      </w:r>
      <w:r>
        <w:rPr>
          <w:rFonts w:ascii="Times New Roman" w:hAnsi="Times New Roman" w:cs="Times New Roman"/>
          <w:lang w:val="mn-MN"/>
        </w:rPr>
        <w:t xml:space="preserve">төмрийн баяжмал 210,000 тонн буюу 71.32 тэрбум төгрөгийн, </w:t>
      </w:r>
      <w:r>
        <w:rPr>
          <w:rFonts w:ascii="Times New Roman" w:hAnsi="Times New Roman" w:cs="Times New Roman"/>
        </w:rPr>
        <w:t>Fe – 58%</w:t>
      </w:r>
      <w:r w:rsidR="00F5759D">
        <w:rPr>
          <w:rFonts w:ascii="Times New Roman" w:hAnsi="Times New Roman" w:cs="Times New Roman"/>
          <w:lang w:val="mn-MN"/>
        </w:rPr>
        <w:t>-ийн</w:t>
      </w:r>
      <w:r>
        <w:rPr>
          <w:rFonts w:ascii="Times New Roman" w:hAnsi="Times New Roman" w:cs="Times New Roman"/>
        </w:rPr>
        <w:t xml:space="preserve"> </w:t>
      </w:r>
      <w:r>
        <w:rPr>
          <w:rFonts w:ascii="Times New Roman" w:hAnsi="Times New Roman" w:cs="Times New Roman"/>
          <w:lang w:val="mn-MN"/>
        </w:rPr>
        <w:t>төмрийн баяжмал 238,700 тонн буюу 63.4 тэрбум төгрөгийн,</w:t>
      </w:r>
      <w:r w:rsidR="00F5759D">
        <w:rPr>
          <w:rFonts w:ascii="Times New Roman" w:hAnsi="Times New Roman" w:cs="Times New Roman"/>
          <w:lang w:val="mn-MN"/>
        </w:rPr>
        <w:t xml:space="preserve"> </w:t>
      </w:r>
      <w:r w:rsidR="000300C9">
        <w:rPr>
          <w:rFonts w:ascii="Times New Roman" w:hAnsi="Times New Roman" w:cs="Times New Roman"/>
        </w:rPr>
        <w:t>Fe-52%</w:t>
      </w:r>
      <w:r w:rsidR="00F5759D">
        <w:rPr>
          <w:rFonts w:ascii="Times New Roman" w:hAnsi="Times New Roman" w:cs="Times New Roman"/>
          <w:lang w:val="mn-MN"/>
        </w:rPr>
        <w:t>-ийн төмрийн хүдэр</w:t>
      </w:r>
      <w:r w:rsidR="000300C9">
        <w:rPr>
          <w:rFonts w:ascii="Times New Roman" w:hAnsi="Times New Roman" w:cs="Times New Roman"/>
        </w:rPr>
        <w:t xml:space="preserve"> </w:t>
      </w:r>
      <w:r w:rsidR="00F5759D">
        <w:rPr>
          <w:rFonts w:ascii="Times New Roman" w:hAnsi="Times New Roman" w:cs="Times New Roman"/>
          <w:lang w:val="mn-MN"/>
        </w:rPr>
        <w:t xml:space="preserve">228,750 тонн буюу 61.48 тэрбум </w:t>
      </w:r>
      <w:r w:rsidR="000300C9">
        <w:rPr>
          <w:rFonts w:ascii="Times New Roman" w:hAnsi="Times New Roman" w:cs="Times New Roman"/>
          <w:lang w:val="mn-MN"/>
        </w:rPr>
        <w:t xml:space="preserve">төгрөгийн арилжаа </w:t>
      </w:r>
      <w:r>
        <w:rPr>
          <w:rFonts w:ascii="Times New Roman" w:hAnsi="Times New Roman" w:cs="Times New Roman"/>
          <w:lang w:val="mn-MN"/>
        </w:rPr>
        <w:t>тус тус хийсэн</w:t>
      </w:r>
      <w:r w:rsidR="00F5759D">
        <w:rPr>
          <w:rFonts w:ascii="Times New Roman" w:hAnsi="Times New Roman" w:cs="Times New Roman"/>
          <w:lang w:val="mn-MN"/>
        </w:rPr>
        <w:t xml:space="preserve"> байна.</w:t>
      </w:r>
      <w:r>
        <w:rPr>
          <w:rFonts w:ascii="Times New Roman" w:hAnsi="Times New Roman" w:cs="Times New Roman"/>
          <w:lang w:val="mn-MN"/>
        </w:rPr>
        <w:t xml:space="preserve"> </w:t>
      </w:r>
      <w:r w:rsidR="003F7C28">
        <w:rPr>
          <w:rFonts w:ascii="Times New Roman" w:hAnsi="Times New Roman" w:cs="Times New Roman"/>
          <w:lang w:val="mn-MN"/>
        </w:rPr>
        <w:t>Үүн</w:t>
      </w:r>
      <w:r w:rsidR="00F5759D">
        <w:rPr>
          <w:rFonts w:ascii="Times New Roman" w:hAnsi="Times New Roman" w:cs="Times New Roman"/>
          <w:lang w:val="mn-MN"/>
        </w:rPr>
        <w:t>д</w:t>
      </w:r>
      <w:r w:rsidR="00F5759D">
        <w:rPr>
          <w:rFonts w:ascii="Times New Roman" w:hAnsi="Times New Roman" w:cs="Times New Roman"/>
        </w:rPr>
        <w:t>:</w:t>
      </w:r>
      <w:r w:rsidR="003F7C28">
        <w:rPr>
          <w:rFonts w:ascii="Times New Roman" w:hAnsi="Times New Roman" w:cs="Times New Roman"/>
          <w:lang w:val="mn-MN"/>
        </w:rPr>
        <w:t xml:space="preserve"> </w:t>
      </w:r>
    </w:p>
    <w:p w14:paraId="54EBEB3F" w14:textId="303BC024" w:rsidR="008E0DD3" w:rsidRDefault="003F7C28" w:rsidP="003F7C28">
      <w:pPr>
        <w:pStyle w:val="ListParagraph"/>
        <w:numPr>
          <w:ilvl w:val="0"/>
          <w:numId w:val="4"/>
        </w:numPr>
        <w:tabs>
          <w:tab w:val="left" w:pos="4696"/>
        </w:tabs>
        <w:spacing w:after="0"/>
        <w:jc w:val="both"/>
        <w:rPr>
          <w:rFonts w:ascii="Times New Roman" w:hAnsi="Times New Roman" w:cs="Times New Roman"/>
          <w:lang w:val="mn-MN"/>
        </w:rPr>
      </w:pPr>
      <w:r w:rsidRPr="003F7C28">
        <w:rPr>
          <w:rFonts w:ascii="Times New Roman" w:hAnsi="Times New Roman" w:cs="Times New Roman"/>
          <w:lang w:val="mn-MN"/>
        </w:rPr>
        <w:t>9 дүгээр сард 9 удаагийн төмрийн</w:t>
      </w:r>
      <w:r w:rsidR="002C10F9">
        <w:rPr>
          <w:rFonts w:ascii="Times New Roman" w:hAnsi="Times New Roman" w:cs="Times New Roman"/>
        </w:rPr>
        <w:t xml:space="preserve"> </w:t>
      </w:r>
      <w:r w:rsidR="002C10F9">
        <w:rPr>
          <w:rFonts w:ascii="Times New Roman" w:hAnsi="Times New Roman" w:cs="Times New Roman"/>
          <w:lang w:val="mn-MN"/>
        </w:rPr>
        <w:t>хүдэр, баяжмалын</w:t>
      </w:r>
      <w:r w:rsidRPr="003F7C28">
        <w:rPr>
          <w:rFonts w:ascii="Times New Roman" w:hAnsi="Times New Roman" w:cs="Times New Roman"/>
          <w:lang w:val="mn-MN"/>
        </w:rPr>
        <w:t xml:space="preserve"> арилжаа явагдаж </w:t>
      </w:r>
      <w:r w:rsidR="000D1172" w:rsidRPr="000D1172">
        <w:rPr>
          <w:rFonts w:ascii="Times New Roman" w:hAnsi="Times New Roman" w:cs="Times New Roman"/>
        </w:rPr>
        <w:t>1</w:t>
      </w:r>
      <w:r w:rsidRPr="000D1172">
        <w:rPr>
          <w:rFonts w:ascii="Times New Roman" w:hAnsi="Times New Roman" w:cs="Times New Roman"/>
          <w:lang w:val="mn-MN"/>
        </w:rPr>
        <w:t xml:space="preserve">00,600 </w:t>
      </w:r>
      <w:r w:rsidRPr="003F7C28">
        <w:rPr>
          <w:rFonts w:ascii="Times New Roman" w:hAnsi="Times New Roman" w:cs="Times New Roman"/>
          <w:lang w:val="mn-MN"/>
        </w:rPr>
        <w:t>тонн буюу 33.59 тэрбум төгрөгийн арилжаа,</w:t>
      </w:r>
    </w:p>
    <w:p w14:paraId="04B64AE6" w14:textId="30C5EF35" w:rsidR="003F7C28" w:rsidRDefault="003F7C28" w:rsidP="003F7C28">
      <w:pPr>
        <w:pStyle w:val="ListParagraph"/>
        <w:numPr>
          <w:ilvl w:val="0"/>
          <w:numId w:val="4"/>
        </w:numPr>
        <w:tabs>
          <w:tab w:val="left" w:pos="4696"/>
        </w:tabs>
        <w:spacing w:after="0"/>
        <w:jc w:val="both"/>
        <w:rPr>
          <w:rFonts w:ascii="Times New Roman" w:hAnsi="Times New Roman" w:cs="Times New Roman"/>
          <w:lang w:val="mn-MN"/>
        </w:rPr>
      </w:pPr>
      <w:r>
        <w:rPr>
          <w:rFonts w:ascii="Times New Roman" w:hAnsi="Times New Roman" w:cs="Times New Roman"/>
          <w:lang w:val="mn-MN"/>
        </w:rPr>
        <w:t xml:space="preserve">10 дугаар сард 32 удаагийн төмрийн </w:t>
      </w:r>
      <w:r w:rsidR="002C10F9">
        <w:rPr>
          <w:rFonts w:ascii="Times New Roman" w:hAnsi="Times New Roman" w:cs="Times New Roman"/>
          <w:lang w:val="mn-MN"/>
        </w:rPr>
        <w:t xml:space="preserve">хүдэр, баяжмалын </w:t>
      </w:r>
      <w:r>
        <w:rPr>
          <w:rFonts w:ascii="Times New Roman" w:hAnsi="Times New Roman" w:cs="Times New Roman"/>
          <w:lang w:val="mn-MN"/>
        </w:rPr>
        <w:t>арилжаа явагдаж 266,800 тонн буюу 77.01 тэрбум төгрөгийн арилжаа,</w:t>
      </w:r>
    </w:p>
    <w:p w14:paraId="3519EF5B" w14:textId="749E5B6D" w:rsidR="008B2D3D" w:rsidRDefault="003F7C28" w:rsidP="00AD48EE">
      <w:pPr>
        <w:pStyle w:val="ListParagraph"/>
        <w:numPr>
          <w:ilvl w:val="0"/>
          <w:numId w:val="4"/>
        </w:numPr>
        <w:tabs>
          <w:tab w:val="left" w:pos="4696"/>
        </w:tabs>
        <w:spacing w:after="0"/>
        <w:jc w:val="both"/>
        <w:rPr>
          <w:rFonts w:ascii="Times New Roman" w:hAnsi="Times New Roman" w:cs="Times New Roman"/>
          <w:lang w:val="mn-MN"/>
        </w:rPr>
      </w:pPr>
      <w:r w:rsidRPr="003F7C28">
        <w:rPr>
          <w:rFonts w:ascii="Times New Roman" w:hAnsi="Times New Roman" w:cs="Times New Roman"/>
          <w:lang w:val="mn-MN"/>
        </w:rPr>
        <w:t xml:space="preserve">11 дүгээр сард 31 удаагийн төмрийн </w:t>
      </w:r>
      <w:r w:rsidR="002C10F9">
        <w:rPr>
          <w:rFonts w:ascii="Times New Roman" w:hAnsi="Times New Roman" w:cs="Times New Roman"/>
          <w:lang w:val="mn-MN"/>
        </w:rPr>
        <w:t xml:space="preserve">хүдэр, баяжмалын </w:t>
      </w:r>
      <w:r w:rsidRPr="003F7C28">
        <w:rPr>
          <w:rFonts w:ascii="Times New Roman" w:hAnsi="Times New Roman" w:cs="Times New Roman"/>
          <w:lang w:val="mn-MN"/>
        </w:rPr>
        <w:t xml:space="preserve">арилжаа явагдаж 184,650 тонн </w:t>
      </w:r>
      <w:r>
        <w:rPr>
          <w:rFonts w:ascii="Times New Roman" w:hAnsi="Times New Roman" w:cs="Times New Roman"/>
          <w:lang w:val="mn-MN"/>
        </w:rPr>
        <w:t>буюу 50.27 тэрбум төгрөгийн арилжаа,</w:t>
      </w:r>
    </w:p>
    <w:p w14:paraId="6351F0B4" w14:textId="2C512FA9" w:rsidR="00887581" w:rsidRPr="006A4347" w:rsidRDefault="003F7C28" w:rsidP="00887581">
      <w:pPr>
        <w:pStyle w:val="ListParagraph"/>
        <w:numPr>
          <w:ilvl w:val="0"/>
          <w:numId w:val="4"/>
        </w:numPr>
        <w:tabs>
          <w:tab w:val="left" w:pos="4696"/>
        </w:tabs>
        <w:spacing w:after="0"/>
        <w:jc w:val="both"/>
        <w:rPr>
          <w:rFonts w:ascii="Times New Roman" w:hAnsi="Times New Roman" w:cs="Times New Roman"/>
          <w:lang w:val="mn-MN"/>
        </w:rPr>
      </w:pPr>
      <w:r>
        <w:rPr>
          <w:rFonts w:ascii="Times New Roman" w:hAnsi="Times New Roman" w:cs="Times New Roman"/>
          <w:lang w:val="mn-MN"/>
        </w:rPr>
        <w:t xml:space="preserve">12 дугаар сард 23 удаагийн төмрийн </w:t>
      </w:r>
      <w:r w:rsidR="002C10F9">
        <w:rPr>
          <w:rFonts w:ascii="Times New Roman" w:hAnsi="Times New Roman" w:cs="Times New Roman"/>
          <w:lang w:val="mn-MN"/>
        </w:rPr>
        <w:t xml:space="preserve">хүдэр, баяжмалын </w:t>
      </w:r>
      <w:r>
        <w:rPr>
          <w:rFonts w:ascii="Times New Roman" w:hAnsi="Times New Roman" w:cs="Times New Roman"/>
          <w:lang w:val="mn-MN"/>
        </w:rPr>
        <w:t>арилжаа явагдаж 125,400 тонн буюу 35.33 тэрбум төгрөгийн арилжаа тус тус хийсэн.</w:t>
      </w:r>
    </w:p>
    <w:p w14:paraId="7038C87E" w14:textId="69F8273E" w:rsidR="00887581" w:rsidRPr="00887581" w:rsidRDefault="006C43F3" w:rsidP="006C43F3">
      <w:pPr>
        <w:ind w:firstLine="360"/>
        <w:rPr>
          <w:rFonts w:ascii="Times New Roman" w:hAnsi="Times New Roman" w:cs="Times New Roman"/>
          <w:sz w:val="16"/>
          <w:szCs w:val="16"/>
          <w:lang w:val="mn-MN"/>
        </w:rPr>
      </w:pPr>
      <w:r>
        <w:rPr>
          <w:rFonts w:ascii="Times New Roman" w:hAnsi="Times New Roman" w:cs="Times New Roman"/>
          <w:lang w:val="mn-MN"/>
        </w:rPr>
        <w:t>2023 онд худалдагч компаниуд дуудлага арилжаагаар арилжигдсан төмрийн баяжмал, хүдрийн үнийн өсөлтөөс нийт 11.91 тэрбум төгрөгийн нэмэлт орлого олсон байна.</w:t>
      </w:r>
    </w:p>
    <w:p w14:paraId="703F1B04" w14:textId="4AD7AB80" w:rsidR="00887581" w:rsidRPr="00887581" w:rsidRDefault="00276205" w:rsidP="00887581">
      <w:pPr>
        <w:rPr>
          <w:rFonts w:ascii="Times New Roman" w:hAnsi="Times New Roman" w:cs="Times New Roman"/>
          <w:sz w:val="16"/>
          <w:szCs w:val="16"/>
          <w:lang w:val="mn-MN"/>
        </w:rPr>
      </w:pPr>
      <w:r>
        <w:rPr>
          <w:rFonts w:ascii="Times New Roman" w:hAnsi="Times New Roman" w:cs="Times New Roman"/>
          <w:noProof/>
          <w:sz w:val="16"/>
          <w:szCs w:val="16"/>
          <w:lang w:val="mn-MN"/>
        </w:rPr>
        <w:drawing>
          <wp:anchor distT="0" distB="0" distL="114300" distR="114300" simplePos="0" relativeHeight="251663360" behindDoc="1" locked="0" layoutInCell="1" allowOverlap="1" wp14:anchorId="40945018" wp14:editId="52710C3E">
            <wp:simplePos x="0" y="0"/>
            <wp:positionH relativeFrom="margin">
              <wp:align>left</wp:align>
            </wp:positionH>
            <wp:positionV relativeFrom="paragraph">
              <wp:posOffset>225425</wp:posOffset>
            </wp:positionV>
            <wp:extent cx="4857750" cy="2657475"/>
            <wp:effectExtent l="0" t="0" r="0" b="9525"/>
            <wp:wrapTight wrapText="bothSides">
              <wp:wrapPolygon edited="0">
                <wp:start x="0" y="0"/>
                <wp:lineTo x="0" y="21523"/>
                <wp:lineTo x="21515" y="21523"/>
                <wp:lineTo x="21515" y="0"/>
                <wp:lineTo x="0" y="0"/>
              </wp:wrapPolygon>
            </wp:wrapTight>
            <wp:docPr id="149069800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5E1090" w:rsidRPr="00AD48EE">
        <w:rPr>
          <w:rFonts w:ascii="Times New Roman" w:hAnsi="Times New Roman" w:cs="Times New Roman"/>
          <w:i/>
          <w:iCs/>
          <w:color w:val="1F3864" w:themeColor="accent1" w:themeShade="80"/>
          <w:sz w:val="16"/>
          <w:szCs w:val="16"/>
          <w:lang w:val="mn-MN"/>
        </w:rPr>
        <w:t>График</w:t>
      </w:r>
      <w:r w:rsidR="00F80092">
        <w:rPr>
          <w:rFonts w:ascii="Times New Roman" w:hAnsi="Times New Roman" w:cs="Times New Roman"/>
          <w:i/>
          <w:iCs/>
          <w:color w:val="1F3864" w:themeColor="accent1" w:themeShade="80"/>
          <w:sz w:val="16"/>
          <w:szCs w:val="16"/>
          <w:lang w:val="mn-MN"/>
        </w:rPr>
        <w:t>7</w:t>
      </w:r>
      <w:r w:rsidR="005E1090" w:rsidRPr="00AD48EE">
        <w:rPr>
          <w:rFonts w:ascii="Times New Roman" w:hAnsi="Times New Roman" w:cs="Times New Roman"/>
          <w:i/>
          <w:iCs/>
          <w:color w:val="1F3864" w:themeColor="accent1" w:themeShade="80"/>
          <w:sz w:val="16"/>
          <w:szCs w:val="16"/>
          <w:lang w:val="mn-MN"/>
        </w:rPr>
        <w:t>. 202</w:t>
      </w:r>
      <w:r w:rsidR="005E1090">
        <w:rPr>
          <w:rFonts w:ascii="Times New Roman" w:hAnsi="Times New Roman" w:cs="Times New Roman"/>
          <w:i/>
          <w:iCs/>
          <w:color w:val="1F3864" w:themeColor="accent1" w:themeShade="80"/>
          <w:sz w:val="16"/>
          <w:szCs w:val="16"/>
          <w:lang w:val="mn-MN"/>
        </w:rPr>
        <w:t xml:space="preserve">3 он төмрийн </w:t>
      </w:r>
      <w:r w:rsidR="00514A75">
        <w:rPr>
          <w:rFonts w:ascii="Times New Roman" w:hAnsi="Times New Roman" w:cs="Times New Roman"/>
          <w:i/>
          <w:iCs/>
          <w:color w:val="1F3864" w:themeColor="accent1" w:themeShade="80"/>
          <w:sz w:val="16"/>
          <w:szCs w:val="16"/>
          <w:lang w:val="mn-MN"/>
        </w:rPr>
        <w:t xml:space="preserve">хүдэр, баяжмалын </w:t>
      </w:r>
      <w:r w:rsidR="005E1090">
        <w:rPr>
          <w:rFonts w:ascii="Times New Roman" w:hAnsi="Times New Roman" w:cs="Times New Roman"/>
          <w:i/>
          <w:iCs/>
          <w:color w:val="1F3864" w:themeColor="accent1" w:themeShade="80"/>
          <w:sz w:val="16"/>
          <w:szCs w:val="16"/>
          <w:lang w:val="mn-MN"/>
        </w:rPr>
        <w:t>арилжааны</w:t>
      </w:r>
      <w:r w:rsidR="004D5A5D">
        <w:rPr>
          <w:rFonts w:ascii="Times New Roman" w:hAnsi="Times New Roman" w:cs="Times New Roman"/>
          <w:i/>
          <w:iCs/>
          <w:color w:val="1F3864" w:themeColor="accent1" w:themeShade="80"/>
          <w:sz w:val="16"/>
          <w:szCs w:val="16"/>
          <w:lang w:val="mn-MN"/>
        </w:rPr>
        <w:t xml:space="preserve"> үнийн дүн</w:t>
      </w:r>
      <w:r w:rsidR="005E1090">
        <w:rPr>
          <w:rFonts w:ascii="Times New Roman" w:hAnsi="Times New Roman" w:cs="Times New Roman"/>
          <w:i/>
          <w:iCs/>
          <w:color w:val="1F3864" w:themeColor="accent1" w:themeShade="80"/>
          <w:sz w:val="16"/>
          <w:szCs w:val="16"/>
          <w:lang w:val="mn-MN"/>
        </w:rPr>
        <w:t>.</w:t>
      </w:r>
    </w:p>
    <w:p w14:paraId="4D7F126F" w14:textId="70286053" w:rsidR="00887581" w:rsidRPr="00887581" w:rsidRDefault="00887581" w:rsidP="00887581">
      <w:pPr>
        <w:rPr>
          <w:rFonts w:ascii="Times New Roman" w:hAnsi="Times New Roman" w:cs="Times New Roman"/>
          <w:sz w:val="16"/>
          <w:szCs w:val="16"/>
          <w:lang w:val="mn-MN"/>
        </w:rPr>
      </w:pPr>
    </w:p>
    <w:p w14:paraId="6F6DC654" w14:textId="77777777" w:rsidR="00887581" w:rsidRPr="00887581" w:rsidRDefault="00887581" w:rsidP="00887581">
      <w:pPr>
        <w:rPr>
          <w:rFonts w:ascii="Times New Roman" w:hAnsi="Times New Roman" w:cs="Times New Roman"/>
          <w:sz w:val="16"/>
          <w:szCs w:val="16"/>
          <w:lang w:val="mn-MN"/>
        </w:rPr>
      </w:pPr>
    </w:p>
    <w:p w14:paraId="7FB7D3CD" w14:textId="77777777" w:rsidR="00887581" w:rsidRPr="00887581" w:rsidRDefault="00887581" w:rsidP="00887581">
      <w:pPr>
        <w:rPr>
          <w:rFonts w:ascii="Times New Roman" w:hAnsi="Times New Roman" w:cs="Times New Roman"/>
          <w:sz w:val="16"/>
          <w:szCs w:val="16"/>
          <w:lang w:val="mn-MN"/>
        </w:rPr>
      </w:pPr>
    </w:p>
    <w:p w14:paraId="6077788F" w14:textId="77777777" w:rsidR="00887581" w:rsidRPr="00887581" w:rsidRDefault="00887581" w:rsidP="00887581">
      <w:pPr>
        <w:rPr>
          <w:rFonts w:ascii="Times New Roman" w:hAnsi="Times New Roman" w:cs="Times New Roman"/>
          <w:sz w:val="16"/>
          <w:szCs w:val="16"/>
          <w:lang w:val="mn-MN"/>
        </w:rPr>
      </w:pPr>
    </w:p>
    <w:p w14:paraId="08A7A1E0" w14:textId="77777777" w:rsidR="00887581" w:rsidRPr="00887581" w:rsidRDefault="00887581" w:rsidP="00887581">
      <w:pPr>
        <w:rPr>
          <w:rFonts w:ascii="Times New Roman" w:hAnsi="Times New Roman" w:cs="Times New Roman"/>
          <w:sz w:val="16"/>
          <w:szCs w:val="16"/>
          <w:lang w:val="mn-MN"/>
        </w:rPr>
      </w:pPr>
    </w:p>
    <w:p w14:paraId="04FC0077" w14:textId="77777777" w:rsidR="00887581" w:rsidRPr="00887581" w:rsidRDefault="00887581" w:rsidP="00887581">
      <w:pPr>
        <w:rPr>
          <w:rFonts w:ascii="Times New Roman" w:hAnsi="Times New Roman" w:cs="Times New Roman"/>
          <w:sz w:val="16"/>
          <w:szCs w:val="16"/>
          <w:lang w:val="mn-MN"/>
        </w:rPr>
      </w:pPr>
    </w:p>
    <w:p w14:paraId="75FA5A84" w14:textId="77777777" w:rsidR="00887581" w:rsidRPr="00887581" w:rsidRDefault="00887581" w:rsidP="00887581">
      <w:pPr>
        <w:rPr>
          <w:rFonts w:ascii="Times New Roman" w:hAnsi="Times New Roman" w:cs="Times New Roman"/>
          <w:sz w:val="16"/>
          <w:szCs w:val="16"/>
          <w:lang w:val="mn-MN"/>
        </w:rPr>
      </w:pPr>
    </w:p>
    <w:p w14:paraId="6BBD2F98" w14:textId="77777777" w:rsidR="00887581" w:rsidRPr="00887581" w:rsidRDefault="00887581" w:rsidP="00887581">
      <w:pPr>
        <w:rPr>
          <w:rFonts w:ascii="Times New Roman" w:hAnsi="Times New Roman" w:cs="Times New Roman"/>
          <w:sz w:val="16"/>
          <w:szCs w:val="16"/>
          <w:lang w:val="mn-MN"/>
        </w:rPr>
      </w:pPr>
    </w:p>
    <w:p w14:paraId="191FE75D" w14:textId="77777777" w:rsidR="00887581" w:rsidRDefault="00887581" w:rsidP="00887581">
      <w:pPr>
        <w:rPr>
          <w:rFonts w:ascii="Times New Roman" w:hAnsi="Times New Roman" w:cs="Times New Roman"/>
          <w:i/>
          <w:iCs/>
          <w:color w:val="1F3864" w:themeColor="accent1" w:themeShade="80"/>
          <w:sz w:val="16"/>
          <w:szCs w:val="16"/>
          <w:lang w:val="mn-MN"/>
        </w:rPr>
      </w:pPr>
    </w:p>
    <w:p w14:paraId="0B6FDB3F" w14:textId="77777777" w:rsidR="00D92515" w:rsidRPr="00D92515" w:rsidRDefault="00D92515" w:rsidP="00D92515">
      <w:pPr>
        <w:rPr>
          <w:rFonts w:ascii="Times New Roman" w:hAnsi="Times New Roman" w:cs="Times New Roman"/>
          <w:sz w:val="16"/>
          <w:szCs w:val="16"/>
          <w:lang w:val="mn-MN"/>
        </w:rPr>
      </w:pPr>
    </w:p>
    <w:p w14:paraId="31CE93A3" w14:textId="77777777" w:rsidR="00D92515" w:rsidRPr="00D92515" w:rsidRDefault="00D92515" w:rsidP="00D92515">
      <w:pPr>
        <w:rPr>
          <w:rFonts w:ascii="Times New Roman" w:hAnsi="Times New Roman" w:cs="Times New Roman"/>
          <w:sz w:val="16"/>
          <w:szCs w:val="16"/>
          <w:lang w:val="mn-MN"/>
        </w:rPr>
      </w:pPr>
    </w:p>
    <w:p w14:paraId="4918D510" w14:textId="77777777" w:rsidR="00D92515" w:rsidRPr="00D92515" w:rsidRDefault="00D92515" w:rsidP="00D92515">
      <w:pPr>
        <w:rPr>
          <w:rFonts w:ascii="Times New Roman" w:hAnsi="Times New Roman" w:cs="Times New Roman"/>
          <w:sz w:val="16"/>
          <w:szCs w:val="16"/>
          <w:lang w:val="mn-MN"/>
        </w:rPr>
      </w:pPr>
    </w:p>
    <w:p w14:paraId="56F2620A" w14:textId="77777777" w:rsidR="00D92515" w:rsidRPr="00D92515" w:rsidRDefault="00D92515" w:rsidP="00D92515">
      <w:pPr>
        <w:rPr>
          <w:rFonts w:ascii="Times New Roman" w:hAnsi="Times New Roman" w:cs="Times New Roman"/>
          <w:sz w:val="16"/>
          <w:szCs w:val="16"/>
          <w:lang w:val="mn-MN"/>
        </w:rPr>
      </w:pPr>
    </w:p>
    <w:p w14:paraId="657657A7" w14:textId="77777777" w:rsidR="00D92515" w:rsidRPr="00D92515" w:rsidRDefault="00D92515" w:rsidP="00D92515">
      <w:pPr>
        <w:rPr>
          <w:rFonts w:ascii="Times New Roman" w:hAnsi="Times New Roman" w:cs="Times New Roman"/>
          <w:sz w:val="16"/>
          <w:szCs w:val="16"/>
          <w:lang w:val="mn-MN"/>
        </w:rPr>
      </w:pPr>
    </w:p>
    <w:p w14:paraId="0B41B9A1" w14:textId="77777777" w:rsidR="00D92515" w:rsidRPr="00D92515" w:rsidRDefault="00D92515" w:rsidP="00D92515">
      <w:pPr>
        <w:rPr>
          <w:rFonts w:ascii="Times New Roman" w:hAnsi="Times New Roman" w:cs="Times New Roman"/>
          <w:sz w:val="16"/>
          <w:szCs w:val="16"/>
          <w:lang w:val="mn-MN"/>
        </w:rPr>
      </w:pPr>
    </w:p>
    <w:p w14:paraId="55133ADF" w14:textId="77777777" w:rsidR="00D92515" w:rsidRPr="00D92515" w:rsidRDefault="00D92515" w:rsidP="00D92515">
      <w:pPr>
        <w:rPr>
          <w:rFonts w:ascii="Times New Roman" w:hAnsi="Times New Roman" w:cs="Times New Roman"/>
          <w:sz w:val="16"/>
          <w:szCs w:val="16"/>
          <w:lang w:val="mn-MN"/>
        </w:rPr>
      </w:pPr>
    </w:p>
    <w:p w14:paraId="1EC4E670" w14:textId="77777777" w:rsidR="00D92515" w:rsidRPr="00D92515" w:rsidRDefault="00D92515" w:rsidP="00D92515">
      <w:pPr>
        <w:rPr>
          <w:rFonts w:ascii="Times New Roman" w:hAnsi="Times New Roman" w:cs="Times New Roman"/>
          <w:sz w:val="16"/>
          <w:szCs w:val="16"/>
          <w:lang w:val="mn-MN"/>
        </w:rPr>
      </w:pPr>
    </w:p>
    <w:p w14:paraId="75AEBDE4" w14:textId="77777777" w:rsidR="00D92515" w:rsidRPr="00D92515" w:rsidRDefault="00D92515" w:rsidP="00D92515">
      <w:pPr>
        <w:rPr>
          <w:rFonts w:ascii="Times New Roman" w:hAnsi="Times New Roman" w:cs="Times New Roman"/>
          <w:sz w:val="16"/>
          <w:szCs w:val="16"/>
          <w:lang w:val="mn-MN"/>
        </w:rPr>
      </w:pPr>
    </w:p>
    <w:p w14:paraId="670BD70B" w14:textId="77777777" w:rsidR="00D92515" w:rsidRPr="00D92515" w:rsidRDefault="00D92515" w:rsidP="00D92515">
      <w:pPr>
        <w:rPr>
          <w:rFonts w:ascii="Times New Roman" w:hAnsi="Times New Roman" w:cs="Times New Roman"/>
          <w:sz w:val="16"/>
          <w:szCs w:val="16"/>
          <w:lang w:val="mn-MN"/>
        </w:rPr>
      </w:pPr>
    </w:p>
    <w:p w14:paraId="29204993" w14:textId="77777777" w:rsidR="00D92515" w:rsidRPr="00D92515" w:rsidRDefault="00D92515" w:rsidP="00D92515">
      <w:pPr>
        <w:rPr>
          <w:rFonts w:ascii="Times New Roman" w:hAnsi="Times New Roman" w:cs="Times New Roman"/>
          <w:sz w:val="16"/>
          <w:szCs w:val="16"/>
          <w:lang w:val="mn-MN"/>
        </w:rPr>
      </w:pPr>
    </w:p>
    <w:p w14:paraId="6CE83196" w14:textId="77777777" w:rsidR="00D92515" w:rsidRDefault="00D92515" w:rsidP="00D92515">
      <w:pPr>
        <w:rPr>
          <w:rFonts w:ascii="Times New Roman" w:hAnsi="Times New Roman" w:cs="Times New Roman"/>
          <w:i/>
          <w:iCs/>
          <w:color w:val="1F3864" w:themeColor="accent1" w:themeShade="80"/>
          <w:sz w:val="16"/>
          <w:szCs w:val="16"/>
          <w:lang w:val="mn-MN"/>
        </w:rPr>
      </w:pPr>
    </w:p>
    <w:p w14:paraId="7AD98D3C" w14:textId="08C62D21" w:rsidR="00D92515" w:rsidRPr="00D92515" w:rsidRDefault="00D92515" w:rsidP="007F7FE4">
      <w:pPr>
        <w:jc w:val="center"/>
        <w:rPr>
          <w:rFonts w:ascii="Times New Roman" w:hAnsi="Times New Roman" w:cs="Times New Roman"/>
          <w:lang w:val="mn-MN"/>
        </w:rPr>
      </w:pPr>
      <w:r w:rsidRPr="00D92515">
        <w:rPr>
          <w:rFonts w:ascii="Times New Roman" w:hAnsi="Times New Roman" w:cs="Times New Roman"/>
          <w:lang w:val="mn-MN"/>
        </w:rPr>
        <w:t>МОНГОЛЫН ХӨРӨНГИЙН БИРЖ</w:t>
      </w:r>
    </w:p>
    <w:p w14:paraId="53DAF848" w14:textId="1F21B2C3" w:rsidR="00D92515" w:rsidRPr="00D92515" w:rsidRDefault="00D92515" w:rsidP="007F7FE4">
      <w:pPr>
        <w:jc w:val="center"/>
        <w:rPr>
          <w:rFonts w:ascii="Times New Roman" w:hAnsi="Times New Roman" w:cs="Times New Roman"/>
          <w:lang w:val="mn-MN"/>
        </w:rPr>
      </w:pPr>
      <w:r w:rsidRPr="00D92515">
        <w:rPr>
          <w:rFonts w:ascii="Times New Roman" w:hAnsi="Times New Roman" w:cs="Times New Roman"/>
          <w:lang w:val="mn-MN"/>
        </w:rPr>
        <w:t>АРИЛЖААНЫ АЛБА</w:t>
      </w:r>
    </w:p>
    <w:sectPr w:rsidR="00D92515" w:rsidRPr="00D92515" w:rsidSect="0013511D">
      <w:footerReference w:type="default" r:id="rId16"/>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5036" w14:textId="77777777" w:rsidR="00BB115C" w:rsidRDefault="00BB115C" w:rsidP="001A048D">
      <w:pPr>
        <w:spacing w:after="0" w:line="240" w:lineRule="auto"/>
      </w:pPr>
      <w:r>
        <w:separator/>
      </w:r>
    </w:p>
  </w:endnote>
  <w:endnote w:type="continuationSeparator" w:id="0">
    <w:p w14:paraId="56A58049" w14:textId="77777777" w:rsidR="00BB115C" w:rsidRDefault="00BB115C" w:rsidP="001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CB5E" w14:textId="7691325C" w:rsidR="00D50758" w:rsidRPr="00C56583" w:rsidRDefault="00C56583" w:rsidP="00D50758">
    <w:pPr>
      <w:pStyle w:val="Footer"/>
      <w:tabs>
        <w:tab w:val="clear" w:pos="4680"/>
        <w:tab w:val="clear" w:pos="9360"/>
      </w:tabs>
      <w:jc w:val="center"/>
      <w:rPr>
        <w:rFonts w:ascii="Times New Roman" w:hAnsi="Times New Roman" w:cs="Times New Roman"/>
        <w:caps/>
        <w:noProof/>
        <w:color w:val="4472C4" w:themeColor="accent1"/>
        <w:sz w:val="16"/>
        <w:szCs w:val="16"/>
      </w:rPr>
    </w:pPr>
    <w:r w:rsidRPr="00C56583">
      <w:rPr>
        <w:rFonts w:ascii="Times New Roman" w:hAnsi="Times New Roman" w:cs="Times New Roman"/>
        <w:caps/>
        <w:color w:val="4472C4" w:themeColor="accent1"/>
        <w:sz w:val="16"/>
        <w:szCs w:val="16"/>
      </w:rPr>
      <w:fldChar w:fldCharType="begin"/>
    </w:r>
    <w:r w:rsidRPr="00C56583">
      <w:rPr>
        <w:rFonts w:ascii="Times New Roman" w:hAnsi="Times New Roman" w:cs="Times New Roman"/>
        <w:caps/>
        <w:color w:val="4472C4" w:themeColor="accent1"/>
        <w:sz w:val="16"/>
        <w:szCs w:val="16"/>
      </w:rPr>
      <w:instrText xml:space="preserve"> PAGE   \* MERGEFORMAT </w:instrText>
    </w:r>
    <w:r w:rsidRPr="00C56583">
      <w:rPr>
        <w:rFonts w:ascii="Times New Roman" w:hAnsi="Times New Roman" w:cs="Times New Roman"/>
        <w:caps/>
        <w:color w:val="4472C4" w:themeColor="accent1"/>
        <w:sz w:val="16"/>
        <w:szCs w:val="16"/>
      </w:rPr>
      <w:fldChar w:fldCharType="separate"/>
    </w:r>
    <w:r w:rsidRPr="00C56583">
      <w:rPr>
        <w:rFonts w:ascii="Times New Roman" w:hAnsi="Times New Roman" w:cs="Times New Roman"/>
        <w:caps/>
        <w:noProof/>
        <w:color w:val="4472C4" w:themeColor="accent1"/>
        <w:sz w:val="16"/>
        <w:szCs w:val="16"/>
      </w:rPr>
      <w:t>2</w:t>
    </w:r>
    <w:r w:rsidRPr="00C56583">
      <w:rPr>
        <w:rFonts w:ascii="Times New Roman" w:hAnsi="Times New Roman" w:cs="Times New Roman"/>
        <w:caps/>
        <w:noProof/>
        <w:color w:val="4472C4"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157B" w14:textId="77777777" w:rsidR="00BB115C" w:rsidRDefault="00BB115C" w:rsidP="001A048D">
      <w:pPr>
        <w:spacing w:after="0" w:line="240" w:lineRule="auto"/>
      </w:pPr>
      <w:r>
        <w:separator/>
      </w:r>
    </w:p>
  </w:footnote>
  <w:footnote w:type="continuationSeparator" w:id="0">
    <w:p w14:paraId="275410FD" w14:textId="77777777" w:rsidR="00BB115C" w:rsidRDefault="00BB115C" w:rsidP="001A0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CEB"/>
    <w:multiLevelType w:val="hybridMultilevel"/>
    <w:tmpl w:val="5486005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95702BB"/>
    <w:multiLevelType w:val="hybridMultilevel"/>
    <w:tmpl w:val="4BB6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78F1"/>
    <w:multiLevelType w:val="hybridMultilevel"/>
    <w:tmpl w:val="6E32DFF8"/>
    <w:lvl w:ilvl="0" w:tplc="8F46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8D79F5"/>
    <w:multiLevelType w:val="hybridMultilevel"/>
    <w:tmpl w:val="DA6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84183"/>
    <w:multiLevelType w:val="hybridMultilevel"/>
    <w:tmpl w:val="F502DC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E64087E"/>
    <w:multiLevelType w:val="hybridMultilevel"/>
    <w:tmpl w:val="1CA066FC"/>
    <w:lvl w:ilvl="0" w:tplc="F06A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66"/>
    <w:rsid w:val="00003E49"/>
    <w:rsid w:val="000300C9"/>
    <w:rsid w:val="00030621"/>
    <w:rsid w:val="0003588A"/>
    <w:rsid w:val="00077E09"/>
    <w:rsid w:val="00081738"/>
    <w:rsid w:val="000A698B"/>
    <w:rsid w:val="000B1B74"/>
    <w:rsid w:val="000B3EFF"/>
    <w:rsid w:val="000B4C70"/>
    <w:rsid w:val="000B6AB9"/>
    <w:rsid w:val="000B6E2E"/>
    <w:rsid w:val="000C0DF4"/>
    <w:rsid w:val="000C3342"/>
    <w:rsid w:val="000C5EB1"/>
    <w:rsid w:val="000C6804"/>
    <w:rsid w:val="000D1172"/>
    <w:rsid w:val="000D39BC"/>
    <w:rsid w:val="00101388"/>
    <w:rsid w:val="001027AE"/>
    <w:rsid w:val="001101AA"/>
    <w:rsid w:val="00110F7F"/>
    <w:rsid w:val="00115DFD"/>
    <w:rsid w:val="001166C0"/>
    <w:rsid w:val="00116EDF"/>
    <w:rsid w:val="001203F9"/>
    <w:rsid w:val="00131081"/>
    <w:rsid w:val="00131D94"/>
    <w:rsid w:val="0013511D"/>
    <w:rsid w:val="00136121"/>
    <w:rsid w:val="001623EC"/>
    <w:rsid w:val="00170C00"/>
    <w:rsid w:val="00171294"/>
    <w:rsid w:val="0019607D"/>
    <w:rsid w:val="001A048D"/>
    <w:rsid w:val="001B0117"/>
    <w:rsid w:val="001C244A"/>
    <w:rsid w:val="001F7242"/>
    <w:rsid w:val="00203121"/>
    <w:rsid w:val="00211A66"/>
    <w:rsid w:val="002214C0"/>
    <w:rsid w:val="002301A6"/>
    <w:rsid w:val="00246942"/>
    <w:rsid w:val="00275D5A"/>
    <w:rsid w:val="00276205"/>
    <w:rsid w:val="00277C65"/>
    <w:rsid w:val="002A27B9"/>
    <w:rsid w:val="002B29FB"/>
    <w:rsid w:val="002C10F9"/>
    <w:rsid w:val="002C3A50"/>
    <w:rsid w:val="002C5655"/>
    <w:rsid w:val="002C75C6"/>
    <w:rsid w:val="002D2897"/>
    <w:rsid w:val="002D41E8"/>
    <w:rsid w:val="002E00E8"/>
    <w:rsid w:val="002E6DAD"/>
    <w:rsid w:val="002F79FD"/>
    <w:rsid w:val="00302CAD"/>
    <w:rsid w:val="00341025"/>
    <w:rsid w:val="00353C03"/>
    <w:rsid w:val="003865AC"/>
    <w:rsid w:val="00391209"/>
    <w:rsid w:val="00392310"/>
    <w:rsid w:val="003A3DD3"/>
    <w:rsid w:val="003D3869"/>
    <w:rsid w:val="003F6201"/>
    <w:rsid w:val="003F719D"/>
    <w:rsid w:val="003F7C28"/>
    <w:rsid w:val="004041B8"/>
    <w:rsid w:val="00406CEF"/>
    <w:rsid w:val="004112FB"/>
    <w:rsid w:val="00426913"/>
    <w:rsid w:val="0043260C"/>
    <w:rsid w:val="004350B5"/>
    <w:rsid w:val="0043731D"/>
    <w:rsid w:val="00444188"/>
    <w:rsid w:val="00452626"/>
    <w:rsid w:val="00487BFC"/>
    <w:rsid w:val="004A22F9"/>
    <w:rsid w:val="004A7E02"/>
    <w:rsid w:val="004D0AAF"/>
    <w:rsid w:val="004D12F7"/>
    <w:rsid w:val="004D5A5D"/>
    <w:rsid w:val="00507DDB"/>
    <w:rsid w:val="00511683"/>
    <w:rsid w:val="00514A75"/>
    <w:rsid w:val="00527A3F"/>
    <w:rsid w:val="0056316C"/>
    <w:rsid w:val="0057033D"/>
    <w:rsid w:val="00587B49"/>
    <w:rsid w:val="0059378E"/>
    <w:rsid w:val="005A1732"/>
    <w:rsid w:val="005A1B4A"/>
    <w:rsid w:val="005A3D17"/>
    <w:rsid w:val="005B1333"/>
    <w:rsid w:val="005B1D96"/>
    <w:rsid w:val="005D607F"/>
    <w:rsid w:val="005E1090"/>
    <w:rsid w:val="006027A9"/>
    <w:rsid w:val="006157FF"/>
    <w:rsid w:val="006737F5"/>
    <w:rsid w:val="00683E4E"/>
    <w:rsid w:val="006A05B9"/>
    <w:rsid w:val="006A3DC4"/>
    <w:rsid w:val="006A4347"/>
    <w:rsid w:val="006B0283"/>
    <w:rsid w:val="006C43F3"/>
    <w:rsid w:val="006D143D"/>
    <w:rsid w:val="006D222C"/>
    <w:rsid w:val="006D29F2"/>
    <w:rsid w:val="006F75A0"/>
    <w:rsid w:val="00701C7A"/>
    <w:rsid w:val="0071227D"/>
    <w:rsid w:val="00713A83"/>
    <w:rsid w:val="00720AB6"/>
    <w:rsid w:val="0072259A"/>
    <w:rsid w:val="007523F0"/>
    <w:rsid w:val="007563A2"/>
    <w:rsid w:val="00760090"/>
    <w:rsid w:val="00764523"/>
    <w:rsid w:val="00772FA3"/>
    <w:rsid w:val="00782CD5"/>
    <w:rsid w:val="00794B32"/>
    <w:rsid w:val="00795713"/>
    <w:rsid w:val="007A31F4"/>
    <w:rsid w:val="007B2EED"/>
    <w:rsid w:val="007C1543"/>
    <w:rsid w:val="007F3303"/>
    <w:rsid w:val="007F46F9"/>
    <w:rsid w:val="007F7FE4"/>
    <w:rsid w:val="00802842"/>
    <w:rsid w:val="00823935"/>
    <w:rsid w:val="00835B26"/>
    <w:rsid w:val="00844263"/>
    <w:rsid w:val="0088320C"/>
    <w:rsid w:val="00887581"/>
    <w:rsid w:val="008A0710"/>
    <w:rsid w:val="008A41F8"/>
    <w:rsid w:val="008B2D3D"/>
    <w:rsid w:val="008B314C"/>
    <w:rsid w:val="008E0DD3"/>
    <w:rsid w:val="008F157A"/>
    <w:rsid w:val="008F2148"/>
    <w:rsid w:val="008F43B2"/>
    <w:rsid w:val="009022D8"/>
    <w:rsid w:val="0091657F"/>
    <w:rsid w:val="00916F1F"/>
    <w:rsid w:val="00921D07"/>
    <w:rsid w:val="009221C4"/>
    <w:rsid w:val="00922FBC"/>
    <w:rsid w:val="00923708"/>
    <w:rsid w:val="00924B18"/>
    <w:rsid w:val="00947087"/>
    <w:rsid w:val="00952DB6"/>
    <w:rsid w:val="00954A95"/>
    <w:rsid w:val="00955D07"/>
    <w:rsid w:val="0096143D"/>
    <w:rsid w:val="00961D5E"/>
    <w:rsid w:val="00964D5F"/>
    <w:rsid w:val="00966774"/>
    <w:rsid w:val="009671DC"/>
    <w:rsid w:val="009A1874"/>
    <w:rsid w:val="009C725A"/>
    <w:rsid w:val="009D7294"/>
    <w:rsid w:val="009E6E7B"/>
    <w:rsid w:val="009F2E8C"/>
    <w:rsid w:val="00A00540"/>
    <w:rsid w:val="00A06525"/>
    <w:rsid w:val="00A12EA8"/>
    <w:rsid w:val="00A14BA5"/>
    <w:rsid w:val="00A26C75"/>
    <w:rsid w:val="00A41666"/>
    <w:rsid w:val="00A43BF4"/>
    <w:rsid w:val="00A52B12"/>
    <w:rsid w:val="00A86B09"/>
    <w:rsid w:val="00A940C2"/>
    <w:rsid w:val="00AC16FB"/>
    <w:rsid w:val="00AC457F"/>
    <w:rsid w:val="00AD0750"/>
    <w:rsid w:val="00AD1E3C"/>
    <w:rsid w:val="00AD48EE"/>
    <w:rsid w:val="00AD51BF"/>
    <w:rsid w:val="00AF4300"/>
    <w:rsid w:val="00B00C11"/>
    <w:rsid w:val="00B00D0F"/>
    <w:rsid w:val="00B04C5A"/>
    <w:rsid w:val="00B10753"/>
    <w:rsid w:val="00B33441"/>
    <w:rsid w:val="00B61B05"/>
    <w:rsid w:val="00B63494"/>
    <w:rsid w:val="00B70A22"/>
    <w:rsid w:val="00B758E4"/>
    <w:rsid w:val="00B873C3"/>
    <w:rsid w:val="00BA196C"/>
    <w:rsid w:val="00BB115C"/>
    <w:rsid w:val="00BB1AE8"/>
    <w:rsid w:val="00BD0E84"/>
    <w:rsid w:val="00BD1E67"/>
    <w:rsid w:val="00BE2C76"/>
    <w:rsid w:val="00BF5A43"/>
    <w:rsid w:val="00BF701C"/>
    <w:rsid w:val="00C00C3B"/>
    <w:rsid w:val="00C04BC9"/>
    <w:rsid w:val="00C12EF3"/>
    <w:rsid w:val="00C215B2"/>
    <w:rsid w:val="00C32B7D"/>
    <w:rsid w:val="00C4147D"/>
    <w:rsid w:val="00C443C0"/>
    <w:rsid w:val="00C45696"/>
    <w:rsid w:val="00C4699D"/>
    <w:rsid w:val="00C56583"/>
    <w:rsid w:val="00C662AD"/>
    <w:rsid w:val="00C66E33"/>
    <w:rsid w:val="00C700BE"/>
    <w:rsid w:val="00C72692"/>
    <w:rsid w:val="00CA13AF"/>
    <w:rsid w:val="00CA6DA5"/>
    <w:rsid w:val="00CB2F4D"/>
    <w:rsid w:val="00D05913"/>
    <w:rsid w:val="00D07402"/>
    <w:rsid w:val="00D1433A"/>
    <w:rsid w:val="00D26763"/>
    <w:rsid w:val="00D42CEF"/>
    <w:rsid w:val="00D4338D"/>
    <w:rsid w:val="00D50758"/>
    <w:rsid w:val="00D55341"/>
    <w:rsid w:val="00D80E63"/>
    <w:rsid w:val="00D92515"/>
    <w:rsid w:val="00DA6AC0"/>
    <w:rsid w:val="00DB34F7"/>
    <w:rsid w:val="00DD4A99"/>
    <w:rsid w:val="00DF0567"/>
    <w:rsid w:val="00E24692"/>
    <w:rsid w:val="00E33207"/>
    <w:rsid w:val="00E5269A"/>
    <w:rsid w:val="00E54E9E"/>
    <w:rsid w:val="00E55445"/>
    <w:rsid w:val="00E569D8"/>
    <w:rsid w:val="00E867D8"/>
    <w:rsid w:val="00E94E20"/>
    <w:rsid w:val="00EA0BFD"/>
    <w:rsid w:val="00EB103C"/>
    <w:rsid w:val="00EC32C5"/>
    <w:rsid w:val="00ED00E4"/>
    <w:rsid w:val="00EE388A"/>
    <w:rsid w:val="00EF41B9"/>
    <w:rsid w:val="00F1247C"/>
    <w:rsid w:val="00F125B1"/>
    <w:rsid w:val="00F21749"/>
    <w:rsid w:val="00F34146"/>
    <w:rsid w:val="00F4459E"/>
    <w:rsid w:val="00F51C3D"/>
    <w:rsid w:val="00F53244"/>
    <w:rsid w:val="00F5759D"/>
    <w:rsid w:val="00F64216"/>
    <w:rsid w:val="00F75D51"/>
    <w:rsid w:val="00F80092"/>
    <w:rsid w:val="00F918DA"/>
    <w:rsid w:val="00F92EF5"/>
    <w:rsid w:val="00F9363C"/>
    <w:rsid w:val="00FA236B"/>
    <w:rsid w:val="00FB1ED8"/>
    <w:rsid w:val="00FC1293"/>
    <w:rsid w:val="00FC14D3"/>
    <w:rsid w:val="00FC489A"/>
    <w:rsid w:val="00FE118D"/>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401C8"/>
  <w15:chartTrackingRefBased/>
  <w15:docId w15:val="{5FC0A37A-C45C-4E12-8D3A-7E60C58E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8D"/>
  </w:style>
  <w:style w:type="paragraph" w:styleId="Footer">
    <w:name w:val="footer"/>
    <w:basedOn w:val="Normal"/>
    <w:link w:val="FooterChar"/>
    <w:uiPriority w:val="99"/>
    <w:unhideWhenUsed/>
    <w:rsid w:val="001A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8D"/>
  </w:style>
  <w:style w:type="paragraph" w:styleId="ListParagraph">
    <w:name w:val="List Paragraph"/>
    <w:basedOn w:val="Normal"/>
    <w:uiPriority w:val="34"/>
    <w:qFormat/>
    <w:rsid w:val="00101388"/>
    <w:pPr>
      <w:ind w:left="720"/>
      <w:contextualSpacing/>
    </w:pPr>
  </w:style>
  <w:style w:type="character" w:styleId="Hyperlink">
    <w:name w:val="Hyperlink"/>
    <w:basedOn w:val="DefaultParagraphFont"/>
    <w:uiPriority w:val="99"/>
    <w:unhideWhenUsed/>
    <w:rsid w:val="00DB34F7"/>
    <w:rPr>
      <w:color w:val="0563C1" w:themeColor="hyperlink"/>
      <w:u w:val="single"/>
    </w:rPr>
  </w:style>
  <w:style w:type="character" w:styleId="UnresolvedMention">
    <w:name w:val="Unresolved Mention"/>
    <w:basedOn w:val="DefaultParagraphFont"/>
    <w:uiPriority w:val="99"/>
    <w:semiHidden/>
    <w:unhideWhenUsed/>
    <w:rsid w:val="00DB34F7"/>
    <w:rPr>
      <w:color w:val="605E5C"/>
      <w:shd w:val="clear" w:color="auto" w:fill="E1DFDD"/>
    </w:rPr>
  </w:style>
  <w:style w:type="table" w:styleId="TableGrid">
    <w:name w:val="Table Grid"/>
    <w:basedOn w:val="TableNormal"/>
    <w:uiPriority w:val="39"/>
    <w:rsid w:val="0075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5A1B4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5A1B4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5A1B4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mn-MN" sz="900"/>
              <a:t>Уул уурхайн бүтээгдэхүүний арилжаа</a:t>
            </a:r>
          </a:p>
        </c:rich>
      </c:tx>
      <c:layout>
        <c:manualLayout>
          <c:xMode val="edge"/>
          <c:yMode val="edge"/>
          <c:x val="0.29396398366870807"/>
          <c:y val="3.9682539682539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8737-438F-B7E1-80461578E42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737-438F-B7E1-80461578E42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F9C-4289-84A6-FD6046E1FD9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F9C-4289-84A6-FD6046E1FD9B}"/>
              </c:ext>
            </c:extLst>
          </c:dPt>
          <c:dLbls>
            <c:dLbl>
              <c:idx val="0"/>
              <c:layout>
                <c:manualLayout>
                  <c:x val="0.20429372808137647"/>
                  <c:y val="-0.14635603891436341"/>
                </c:manualLayout>
              </c:layout>
              <c:tx>
                <c:rich>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95.7%</a:t>
                    </a:r>
                  </a:p>
                </c:rich>
              </c:tx>
              <c:spPr>
                <a:xfrm>
                  <a:off x="4009388" y="2417978"/>
                  <a:ext cx="329226" cy="244016"/>
                </a:xfrm>
                <a:solidFill>
                  <a:sysClr val="window" lastClr="FFFFFF"/>
                </a:solidFill>
                <a:ln w="12700" cap="flat" cmpd="sng" algn="ctr">
                  <a:solidFill>
                    <a:srgbClr val="5B9BD5"/>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81695"/>
                        <a:gd name="adj2" fmla="val -212133"/>
                      </a:avLst>
                    </a:prstGeom>
                    <a:noFill/>
                    <a:ln>
                      <a:noFill/>
                    </a:ln>
                  </c15:spPr>
                  <c15:layout>
                    <c:manualLayout>
                      <c:w val="7.9062442776048347E-2"/>
                      <c:h val="7.7244425483713186E-2"/>
                    </c:manualLayout>
                  </c15:layout>
                  <c15:showDataLabelsRange val="0"/>
                </c:ext>
                <c:ext xmlns:c16="http://schemas.microsoft.com/office/drawing/2014/chart" uri="{C3380CC4-5D6E-409C-BE32-E72D297353CC}">
                  <c16:uniqueId val="{00000002-8737-438F-B7E1-80461578E425}"/>
                </c:ext>
              </c:extLst>
            </c:dLbl>
            <c:dLbl>
              <c:idx val="1"/>
              <c:layout>
                <c:manualLayout>
                  <c:x val="-8.9935461808426626E-2"/>
                  <c:y val="4.6604427075381094E-2"/>
                </c:manualLayout>
              </c:layout>
              <c:tx>
                <c:rich>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4.3%</a:t>
                    </a:r>
                  </a:p>
                </c:rich>
              </c:tx>
              <c:spPr>
                <a:solidFill>
                  <a:sysClr val="window" lastClr="FFFFFF"/>
                </a:solidFill>
                <a:ln w="12700" cap="flat" cmpd="sng" algn="ctr">
                  <a:solidFill>
                    <a:srgbClr val="ED7D31"/>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5725"/>
                        <a:gd name="adj2" fmla="val 110913"/>
                      </a:avLst>
                    </a:prstGeom>
                    <a:noFill/>
                    <a:ln>
                      <a:noFill/>
                    </a:ln>
                  </c15:spPr>
                  <c15:layout>
                    <c:manualLayout>
                      <c:w val="6.8156852486462444E-2"/>
                      <c:h val="6.1643870882323738E-2"/>
                    </c:manualLayout>
                  </c15:layout>
                  <c15:showDataLabelsRange val="0"/>
                </c:ext>
                <c:ext xmlns:c16="http://schemas.microsoft.com/office/drawing/2014/chart" uri="{C3380CC4-5D6E-409C-BE32-E72D297353CC}">
                  <c16:uniqueId val="{00000001-8737-438F-B7E1-80461578E425}"/>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2"/>
                <c:pt idx="0">
                  <c:v>Нүүрсний арилжаа</c:v>
                </c:pt>
                <c:pt idx="1">
                  <c:v>Төмрийн  арилжаа</c:v>
                </c:pt>
              </c:strCache>
            </c:strRef>
          </c:cat>
          <c:val>
            <c:numRef>
              <c:f>Sheet1!$B$2:$B$5</c:f>
              <c:numCache>
                <c:formatCode>General</c:formatCode>
                <c:ptCount val="4"/>
                <c:pt idx="0">
                  <c:v>14937600</c:v>
                </c:pt>
                <c:pt idx="1">
                  <c:v>677450</c:v>
                </c:pt>
              </c:numCache>
            </c:numRef>
          </c:val>
          <c:extLst>
            <c:ext xmlns:c16="http://schemas.microsoft.com/office/drawing/2014/chart" uri="{C3380CC4-5D6E-409C-BE32-E72D297353CC}">
              <c16:uniqueId val="{00000000-8737-438F-B7E1-80461578E425}"/>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876514156303641"/>
          <c:y val="5.4000145778625309E-2"/>
          <c:w val="0.55800944999117141"/>
          <c:h val="0.84309058565577721"/>
        </c:manualLayout>
      </c:layout>
      <c:pie3DChart>
        <c:varyColors val="1"/>
        <c:ser>
          <c:idx val="0"/>
          <c:order val="0"/>
          <c:tx>
            <c:strRef>
              <c:f>Sheet1!$B$1</c:f>
              <c:strCache>
                <c:ptCount val="1"/>
                <c:pt idx="0">
                  <c:v>Хэмжээ /тн/</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7849-4D77-8175-04C0D3DA095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7849-4D77-8175-04C0D3DA095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849-4D77-8175-04C0D3DA095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7849-4D77-8175-04C0D3DA095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849-4D77-8175-04C0D3DA095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7849-4D77-8175-04C0D3DA095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849-4D77-8175-04C0D3DA0952}"/>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7849-4D77-8175-04C0D3DA0952}"/>
              </c:ext>
            </c:extLst>
          </c:dPt>
          <c:dLbls>
            <c:dLbl>
              <c:idx val="0"/>
              <c:layout>
                <c:manualLayout>
                  <c:x val="-1.9744752060454222E-2"/>
                  <c:y val="-5.7109997886472072E-2"/>
                </c:manualLayout>
              </c:layout>
              <c:tx>
                <c:rich>
                  <a:bodyPr/>
                  <a:lstStyle/>
                  <a:p>
                    <a:fld id="{D6B29044-32C1-4B16-BC19-FB2D4D8069E5}" type="CATEGORYNAME">
                      <a:rPr lang="mn-MN"/>
                      <a:pPr/>
                      <a:t>[CATEGORY NAME]</a:t>
                    </a:fld>
                    <a:r>
                      <a:rPr lang="mn-MN" baseline="0"/>
                      <a:t>
12.93%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849-4D77-8175-04C0D3DA0952}"/>
                </c:ext>
              </c:extLst>
            </c:dLbl>
            <c:dLbl>
              <c:idx val="1"/>
              <c:layout>
                <c:manualLayout>
                  <c:x val="0.14470971206760502"/>
                  <c:y val="-0.10107186689229522"/>
                </c:manualLayout>
              </c:layout>
              <c:tx>
                <c:rich>
                  <a:bodyPr/>
                  <a:lstStyle/>
                  <a:p>
                    <a:fld id="{76D506B9-25BF-4A9B-AA3F-21F70B120BDA}" type="CATEGORYNAME">
                      <a:rPr lang="mn-MN"/>
                      <a:pPr/>
                      <a:t>[CATEGORY NAME]</a:t>
                    </a:fld>
                    <a:r>
                      <a:rPr lang="mn-MN" baseline="0"/>
                      <a:t>
0.5%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849-4D77-8175-04C0D3DA0952}"/>
                </c:ext>
              </c:extLst>
            </c:dLbl>
            <c:dLbl>
              <c:idx val="2"/>
              <c:layout>
                <c:manualLayout>
                  <c:x val="0.14235944988127067"/>
                  <c:y val="9.6729427953430439E-2"/>
                </c:manualLayout>
              </c:layout>
              <c:tx>
                <c:rich>
                  <a:bodyPr/>
                  <a:lstStyle/>
                  <a:p>
                    <a:fld id="{B47014E4-EE43-4512-80E4-DCEE781546D6}" type="CATEGORYNAME">
                      <a:rPr lang="mn-MN"/>
                      <a:pPr/>
                      <a:t>[CATEGORY NAME]</a:t>
                    </a:fld>
                    <a:r>
                      <a:rPr lang="mn-MN" baseline="0"/>
                      <a:t>
0.93%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849-4D77-8175-04C0D3DA0952}"/>
                </c:ext>
              </c:extLst>
            </c:dLbl>
            <c:dLbl>
              <c:idx val="3"/>
              <c:layout>
                <c:manualLayout>
                  <c:x val="0.25853543453620825"/>
                  <c:y val="-0.1086119517755883"/>
                </c:manualLayout>
              </c:layout>
              <c:tx>
                <c:rich>
                  <a:bodyPr/>
                  <a:lstStyle/>
                  <a:p>
                    <a:fld id="{13BA47BE-8034-434D-B98B-29ED226F6290}" type="CATEGORYNAME">
                      <a:rPr lang="mn-MN"/>
                      <a:pPr/>
                      <a:t>[CATEGORY NAME]</a:t>
                    </a:fld>
                    <a:r>
                      <a:rPr lang="mn-MN" baseline="0"/>
                      <a:t>
67.25%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849-4D77-8175-04C0D3DA0952}"/>
                </c:ext>
              </c:extLst>
            </c:dLbl>
            <c:dLbl>
              <c:idx val="4"/>
              <c:layout>
                <c:manualLayout>
                  <c:x val="-2.6053782450916534E-2"/>
                  <c:y val="3.6454309573382089E-2"/>
                </c:manualLayout>
              </c:layout>
              <c:tx>
                <c:rich>
                  <a:bodyPr/>
                  <a:lstStyle/>
                  <a:p>
                    <a:fld id="{EF5B7D53-9861-4157-8782-2DFE3562FE62}" type="CATEGORYNAME">
                      <a:rPr lang="mn-MN"/>
                      <a:pPr/>
                      <a:t>[CATEGORY NAME]</a:t>
                    </a:fld>
                    <a:r>
                      <a:rPr lang="mn-MN" baseline="0"/>
                      <a:t>
0.5%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849-4D77-8175-04C0D3DA0952}"/>
                </c:ext>
              </c:extLst>
            </c:dLbl>
            <c:dLbl>
              <c:idx val="5"/>
              <c:layout>
                <c:manualLayout>
                  <c:x val="-0.12764741524644491"/>
                  <c:y val="-2.8186593037949095E-2"/>
                </c:manualLayout>
              </c:layout>
              <c:tx>
                <c:rich>
                  <a:bodyPr/>
                  <a:lstStyle/>
                  <a:p>
                    <a:fld id="{1B0C1609-7312-4815-923F-201102D39820}" type="CATEGORYNAME">
                      <a:rPr lang="mn-MN"/>
                      <a:pPr/>
                      <a:t>[CATEGORY NAME]</a:t>
                    </a:fld>
                    <a:endParaRPr lang="mn-MN" baseline="0"/>
                  </a:p>
                  <a:p>
                    <a:r>
                      <a:rPr lang="mn-MN" baseline="0"/>
                      <a:t>14.63%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849-4D77-8175-04C0D3DA0952}"/>
                </c:ext>
              </c:extLst>
            </c:dLbl>
            <c:dLbl>
              <c:idx val="6"/>
              <c:layout>
                <c:manualLayout>
                  <c:x val="-0.1819598803987782"/>
                  <c:y val="-9.4373968530918215E-2"/>
                </c:manualLayout>
              </c:layout>
              <c:tx>
                <c:rich>
                  <a:bodyPr/>
                  <a:lstStyle/>
                  <a:p>
                    <a:fld id="{939E2B1F-43A2-4C18-AF97-8B3106ED7305}" type="CATEGORYNAME">
                      <a:rPr lang="mn-MN"/>
                      <a:pPr/>
                      <a:t>[CATEGORY NAME]</a:t>
                    </a:fld>
                    <a:r>
                      <a:rPr lang="mn-MN" baseline="0"/>
                      <a:t>
3.25%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849-4D77-8175-04C0D3DA0952}"/>
                </c:ext>
              </c:extLst>
            </c:dLbl>
            <c:dLbl>
              <c:idx val="7"/>
              <c:layout>
                <c:manualLayout>
                  <c:x val="-1.8128333195346954E-2"/>
                  <c:y val="-0.11508744159692774"/>
                </c:manualLayout>
              </c:layout>
              <c:tx>
                <c:rich>
                  <a:bodyPr/>
                  <a:lstStyle/>
                  <a:p>
                    <a:fld id="{DCBF32DF-C7D2-427D-A0D3-8FA7A1644A0B}" type="CATEGORYNAME">
                      <a:rPr lang="mn-MN"/>
                      <a:pPr/>
                      <a:t>[CATEGORY NAME]</a:t>
                    </a:fld>
                    <a:r>
                      <a:rPr lang="mn-MN" baseline="0"/>
                      <a:t>
0.02%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849-4D77-8175-04C0D3DA0952}"/>
                </c:ext>
              </c:extLst>
            </c:dLbl>
            <c:spPr>
              <a:noFill/>
              <a:ln>
                <a:solidFill>
                  <a:schemeClr val="bg1">
                    <a:lumMod val="85000"/>
                  </a:schemeClr>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Баяжуулсан коксжих нүүрс</c:v>
                </c:pt>
                <c:pt idx="1">
                  <c:v>Баяжуулсан дунд зэрэг үнстэй хагас хатуу коксжих нүүрс</c:v>
                </c:pt>
                <c:pt idx="2">
                  <c:v>Баяжуулсан сул коксжих нүүрс</c:v>
                </c:pt>
                <c:pt idx="3">
                  <c:v>Дэгдэмхий бодис дунд, коксжих нүүрс</c:v>
                </c:pt>
                <c:pt idx="4">
                  <c:v>Дэгдэмхий бодис дундаас их хийн нүүрс</c:v>
                </c:pt>
                <c:pt idx="5">
                  <c:v>1/3 коксжих нүүрс</c:v>
                </c:pt>
                <c:pt idx="6">
                  <c:v>Эрчим хүчний нүүрс</c:v>
                </c:pt>
                <c:pt idx="7">
                  <c:v>Чийг багатай хүрэн нүүрс</c:v>
                </c:pt>
              </c:strCache>
            </c:strRef>
          </c:cat>
          <c:val>
            <c:numRef>
              <c:f>Sheet1!$B$2:$B$9</c:f>
              <c:numCache>
                <c:formatCode>#,##0</c:formatCode>
                <c:ptCount val="8"/>
                <c:pt idx="0">
                  <c:v>949.97</c:v>
                </c:pt>
                <c:pt idx="1">
                  <c:v>36.57</c:v>
                </c:pt>
                <c:pt idx="2">
                  <c:v>68.150000000000006</c:v>
                </c:pt>
                <c:pt idx="3">
                  <c:v>4939.92</c:v>
                </c:pt>
                <c:pt idx="4">
                  <c:v>35.79</c:v>
                </c:pt>
                <c:pt idx="5">
                  <c:v>1074.8800000000001</c:v>
                </c:pt>
                <c:pt idx="6">
                  <c:v>238.56</c:v>
                </c:pt>
                <c:pt idx="7">
                  <c:v>1.35</c:v>
                </c:pt>
              </c:numCache>
            </c:numRef>
          </c:val>
          <c:extLst>
            <c:ext xmlns:c16="http://schemas.microsoft.com/office/drawing/2014/chart" uri="{C3380CC4-5D6E-409C-BE32-E72D297353CC}">
              <c16:uniqueId val="{00000000-7849-4D77-8175-04C0D3DA0952}"/>
            </c:ext>
          </c:extLst>
        </c:ser>
        <c:ser>
          <c:idx val="1"/>
          <c:order val="1"/>
          <c:tx>
            <c:strRef>
              <c:f>Sheet1!$C$1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EFD1-4E12-9DBD-8AD56E9219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EFD1-4E12-9DBD-8AD56E9219C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EFD1-4E12-9DBD-8AD56E9219C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EFD1-4E12-9DBD-8AD56E9219C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9-EFD1-4E12-9DBD-8AD56E9219C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B-EFD1-4E12-9DBD-8AD56E9219C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D-EFD1-4E12-9DBD-8AD56E9219C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F-EFD1-4E12-9DBD-8AD56E9219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Баяжуулсан коксжих нүүрс</c:v>
                </c:pt>
                <c:pt idx="1">
                  <c:v>Баяжуулсан дунд зэрэг үнстэй хагас хатуу коксжих нүүрс</c:v>
                </c:pt>
                <c:pt idx="2">
                  <c:v>Баяжуулсан сул коксжих нүүрс</c:v>
                </c:pt>
                <c:pt idx="3">
                  <c:v>Дэгдэмхий бодис дунд, коксжих нүүрс</c:v>
                </c:pt>
                <c:pt idx="4">
                  <c:v>Дэгдэмхий бодис дундаас их хийн нүүрс</c:v>
                </c:pt>
                <c:pt idx="5">
                  <c:v>1/3 коксжих нүүрс</c:v>
                </c:pt>
                <c:pt idx="6">
                  <c:v>Эрчим хүчний нүүрс</c:v>
                </c:pt>
                <c:pt idx="7">
                  <c:v>Чийг багатай хүрэн нүүрс</c:v>
                </c:pt>
              </c:strCache>
            </c:strRef>
          </c:cat>
          <c:val>
            <c:numRef>
              <c:f>Sheet1!$C$2:$C$9</c:f>
              <c:numCache>
                <c:formatCode>General</c:formatCode>
                <c:ptCount val="8"/>
              </c:numCache>
            </c:numRef>
          </c:val>
          <c:extLst>
            <c:ext xmlns:c16="http://schemas.microsoft.com/office/drawing/2014/chart" uri="{C3380CC4-5D6E-409C-BE32-E72D297353CC}">
              <c16:uniqueId val="{00000001-7849-4D77-8175-04C0D3DA0952}"/>
            </c:ext>
          </c:extLst>
        </c:ser>
        <c:ser>
          <c:idx val="2"/>
          <c:order val="2"/>
          <c:tx>
            <c:strRef>
              <c:f>Sheet1!$D$1</c:f>
              <c:strCache>
                <c:ptCount val="1"/>
                <c:pt idx="0">
                  <c:v>Column2</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1-EFD1-4E12-9DBD-8AD56E9219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3-EFD1-4E12-9DBD-8AD56E9219C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5-EFD1-4E12-9DBD-8AD56E9219C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7-EFD1-4E12-9DBD-8AD56E9219C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9-EFD1-4E12-9DBD-8AD56E9219C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B-EFD1-4E12-9DBD-8AD56E9219C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D-EFD1-4E12-9DBD-8AD56E9219C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2F-EFD1-4E12-9DBD-8AD56E9219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Баяжуулсан коксжих нүүрс</c:v>
                </c:pt>
                <c:pt idx="1">
                  <c:v>Баяжуулсан дунд зэрэг үнстэй хагас хатуу коксжих нүүрс</c:v>
                </c:pt>
                <c:pt idx="2">
                  <c:v>Баяжуулсан сул коксжих нүүрс</c:v>
                </c:pt>
                <c:pt idx="3">
                  <c:v>Дэгдэмхий бодис дунд, коксжих нүүрс</c:v>
                </c:pt>
                <c:pt idx="4">
                  <c:v>Дэгдэмхий бодис дундаас их хийн нүүрс</c:v>
                </c:pt>
                <c:pt idx="5">
                  <c:v>1/3 коксжих нүүрс</c:v>
                </c:pt>
                <c:pt idx="6">
                  <c:v>Эрчим хүчний нүүрс</c:v>
                </c:pt>
                <c:pt idx="7">
                  <c:v>Чийг багатай хүрэн нүүрс</c:v>
                </c:pt>
              </c:strCache>
            </c:strRef>
          </c:cat>
          <c:val>
            <c:numRef>
              <c:f>Sheet1!$D$2:$D$9</c:f>
              <c:numCache>
                <c:formatCode>General</c:formatCode>
                <c:ptCount val="8"/>
              </c:numCache>
            </c:numRef>
          </c:val>
          <c:extLst>
            <c:ext xmlns:c16="http://schemas.microsoft.com/office/drawing/2014/chart" uri="{C3380CC4-5D6E-409C-BE32-E72D297353CC}">
              <c16:uniqueId val="{00000002-7849-4D77-8175-04C0D3DA095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975481896064751E-2"/>
          <c:y val="0.73727543765767156"/>
          <c:w val="0.61000813997533831"/>
          <c:h val="0.248146022207635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Series 1</c:v>
                </c:pt>
              </c:strCache>
            </c:strRef>
          </c:tx>
          <c:dPt>
            <c:idx val="0"/>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4-1F6E-44A7-A7FD-DD5B7A2F509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1F6E-44A7-A7FD-DD5B7A2F5091}"/>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6-1F6E-44A7-A7FD-DD5B7A2F5091}"/>
              </c:ext>
            </c:extLst>
          </c:dPt>
          <c:dPt>
            <c:idx val="3"/>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7-1F6E-44A7-A7FD-DD5B7A2F5091}"/>
              </c:ext>
            </c:extLst>
          </c:dPt>
          <c:dPt>
            <c:idx val="4"/>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5-1F6E-44A7-A7FD-DD5B7A2F5091}"/>
              </c:ext>
            </c:extLst>
          </c:dPt>
          <c:dLbls>
            <c:dLbl>
              <c:idx val="0"/>
              <c:layout>
                <c:manualLayout>
                  <c:x val="9.0620990084572764E-2"/>
                  <c:y val="8.9285714285714281E-3"/>
                </c:manualLayout>
              </c:layout>
              <c:tx>
                <c:rich>
                  <a:bodyPr/>
                  <a:lstStyle/>
                  <a:p>
                    <a:fld id="{B40D6D53-33A8-415A-9AA6-452D7DB4C817}" type="CATEGORYNAME">
                      <a:rPr lang="mn-MN"/>
                      <a:pPr/>
                      <a:t>[CATEGORY NAME]</a:t>
                    </a:fld>
                    <a:r>
                      <a:rPr lang="mn-MN" baseline="0"/>
                      <a:t>
0.02%</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F6E-44A7-A7FD-DD5B7A2F5091}"/>
                </c:ext>
              </c:extLst>
            </c:dLbl>
            <c:dLbl>
              <c:idx val="1"/>
              <c:layout>
                <c:manualLayout>
                  <c:x val="8.5844482854277357E-2"/>
                  <c:y val="0.13140066289041263"/>
                </c:manualLayout>
              </c:layout>
              <c:tx>
                <c:rich>
                  <a:bodyPr/>
                  <a:lstStyle/>
                  <a:p>
                    <a:fld id="{79771EFC-E915-453F-92CD-9B2EBD6E9805}" type="CATEGORYNAME">
                      <a:rPr lang="mn-MN"/>
                      <a:pPr/>
                      <a:t>[CATEGORY NAME]</a:t>
                    </a:fld>
                    <a:r>
                      <a:rPr lang="mn-MN" baseline="0"/>
                      <a:t>
13.43%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6E-44A7-A7FD-DD5B7A2F5091}"/>
                </c:ext>
              </c:extLst>
            </c:dLbl>
            <c:dLbl>
              <c:idx val="2"/>
              <c:layout>
                <c:manualLayout>
                  <c:x val="-0.10676418496468439"/>
                  <c:y val="-0.24677060133630291"/>
                </c:manualLayout>
              </c:layout>
              <c:tx>
                <c:rich>
                  <a:bodyPr/>
                  <a:lstStyle/>
                  <a:p>
                    <a:fld id="{BFED1A4B-73ED-4AD6-BA16-3BE1A87791F8}" type="CATEGORYNAME">
                      <a:rPr lang="mn-MN"/>
                      <a:pPr/>
                      <a:t>[CATEGORY NAME]</a:t>
                    </a:fld>
                    <a:endParaRPr lang="mn-MN" baseline="0"/>
                  </a:p>
                  <a:p>
                    <a:r>
                      <a:rPr lang="mn-MN" baseline="0"/>
                      <a:t>59.45%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F6E-44A7-A7FD-DD5B7A2F5091}"/>
                </c:ext>
              </c:extLst>
            </c:dLbl>
            <c:dLbl>
              <c:idx val="3"/>
              <c:layout>
                <c:manualLayout>
                  <c:x val="0.14561253014104944"/>
                  <c:y val="0.15491924311242833"/>
                </c:manualLayout>
              </c:layout>
              <c:tx>
                <c:rich>
                  <a:bodyPr/>
                  <a:lstStyle/>
                  <a:p>
                    <a:fld id="{4E5CC91C-2318-4B47-BF3B-420A03747C0D}" type="CATEGORYNAME">
                      <a:rPr lang="mn-MN"/>
                      <a:pPr/>
                      <a:t>[CATEGORY NAME]</a:t>
                    </a:fld>
                    <a:r>
                      <a:rPr lang="mn-MN" baseline="0"/>
                      <a:t>
26.18%</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F6E-44A7-A7FD-DD5B7A2F5091}"/>
                </c:ext>
              </c:extLst>
            </c:dLbl>
            <c:dLbl>
              <c:idx val="4"/>
              <c:layout>
                <c:manualLayout>
                  <c:x val="-0.13482256124234471"/>
                  <c:y val="1.2896825396825396E-2"/>
                </c:manualLayout>
              </c:layout>
              <c:tx>
                <c:rich>
                  <a:bodyPr/>
                  <a:lstStyle/>
                  <a:p>
                    <a:fld id="{144D1B88-B52F-45B4-9058-82D9D17ED578}" type="CATEGORYNAME">
                      <a:rPr lang="mn-MN"/>
                      <a:pPr/>
                      <a:t>[CATEGORY NAME]</a:t>
                    </a:fld>
                    <a:r>
                      <a:rPr lang="mn-MN" baseline="0"/>
                      <a:t>
0.93%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F6E-44A7-A7FD-DD5B7A2F509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Андын элч</c:v>
                </c:pt>
                <c:pt idx="1">
                  <c:v>Энержи ресурс</c:v>
                </c:pt>
                <c:pt idx="2">
                  <c:v>Эрдэнэс таван толгой</c:v>
                </c:pt>
                <c:pt idx="3">
                  <c:v>Таван толгой</c:v>
                </c:pt>
                <c:pt idx="4">
                  <c:v>Хангад Эксплорэйшн</c:v>
                </c:pt>
              </c:strCache>
            </c:strRef>
          </c:cat>
          <c:val>
            <c:numRef>
              <c:f>Sheet1!$B$2:$B$6</c:f>
              <c:numCache>
                <c:formatCode>General</c:formatCode>
                <c:ptCount val="5"/>
                <c:pt idx="0" formatCode="#,##0">
                  <c:v>1350018560</c:v>
                </c:pt>
                <c:pt idx="1">
                  <c:v>986541968000</c:v>
                </c:pt>
                <c:pt idx="2">
                  <c:v>4366356608435</c:v>
                </c:pt>
                <c:pt idx="3">
                  <c:v>1922797358394</c:v>
                </c:pt>
                <c:pt idx="4">
                  <c:v>68146995200</c:v>
                </c:pt>
              </c:numCache>
            </c:numRef>
          </c:val>
          <c:extLst>
            <c:ext xmlns:c16="http://schemas.microsoft.com/office/drawing/2014/chart" uri="{C3380CC4-5D6E-409C-BE32-E72D297353CC}">
              <c16:uniqueId val="{00000000-1F6E-44A7-A7FD-DD5B7A2F509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14223854251395"/>
          <c:y val="2.453827979538788E-2"/>
          <c:w val="0.87274917873416802"/>
          <c:h val="0.87753534555918944"/>
        </c:manualLayout>
      </c:layout>
      <c:lineChart>
        <c:grouping val="standard"/>
        <c:varyColors val="0"/>
        <c:ser>
          <c:idx val="0"/>
          <c:order val="0"/>
          <c:tx>
            <c:strRef>
              <c:f>Sheet1!$B$1</c:f>
              <c:strCache>
                <c:ptCount val="1"/>
                <c:pt idx="0">
                  <c:v>Үнийн дүн</c:v>
                </c:pt>
              </c:strCache>
            </c:strRef>
          </c:tx>
          <c:spPr>
            <a:ln w="31750" cap="rnd">
              <a:solidFill>
                <a:schemeClr val="accent1"/>
              </a:solidFill>
              <a:round/>
            </a:ln>
            <a:effectLst/>
          </c:spPr>
          <c:marker>
            <c:symbol val="none"/>
          </c:marker>
          <c:dLbls>
            <c:dLbl>
              <c:idx val="0"/>
              <c:layout>
                <c:manualLayout>
                  <c:x val="-4.7953363416371061E-2"/>
                  <c:y val="-3.85430718828290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17-453E-82DC-ECCDDDBBBF2F}"/>
                </c:ext>
              </c:extLst>
            </c:dLbl>
            <c:dLbl>
              <c:idx val="1"/>
              <c:layout>
                <c:manualLayout>
                  <c:x val="-6.188392492515804E-2"/>
                  <c:y val="-2.312584312969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17-453E-82DC-ECCDDDBBBF2F}"/>
                </c:ext>
              </c:extLst>
            </c:dLbl>
            <c:dLbl>
              <c:idx val="2"/>
              <c:layout>
                <c:manualLayout>
                  <c:x val="-4.4738618452804843E-2"/>
                  <c:y val="-1.54172287531317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17-453E-82DC-ECCDDDBBBF2F}"/>
                </c:ext>
              </c:extLst>
            </c:dLbl>
            <c:dLbl>
              <c:idx val="3"/>
              <c:layout>
                <c:manualLayout>
                  <c:x val="-4.4738618452804885E-2"/>
                  <c:y val="1.5417228753131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17-453E-82DC-ECCDDDBBBF2F}"/>
                </c:ext>
              </c:extLst>
            </c:dLbl>
            <c:dLbl>
              <c:idx val="5"/>
              <c:layout>
                <c:manualLayout>
                  <c:x val="-3.9916501007455508E-2"/>
                  <c:y val="-1.5417228753131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17-453E-82DC-ECCDDDBBBF2F}"/>
                </c:ext>
              </c:extLst>
            </c:dLbl>
            <c:dLbl>
              <c:idx val="7"/>
              <c:layout>
                <c:manualLayout>
                  <c:x val="-1.2055377989881726E-2"/>
                  <c:y val="1.1562921564848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17-453E-82DC-ECCDDDBBBF2F}"/>
                </c:ext>
              </c:extLst>
            </c:dLbl>
            <c:dLbl>
              <c:idx val="8"/>
              <c:layout>
                <c:manualLayout>
                  <c:x val="-4.9560735898154261E-2"/>
                  <c:y val="-1.5417228753131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17-453E-82DC-ECCDDDBBBF2F}"/>
                </c:ext>
              </c:extLst>
            </c:dLbl>
            <c:dLbl>
              <c:idx val="9"/>
              <c:layout>
                <c:manualLayout>
                  <c:x val="-4.9560735898154337E-2"/>
                  <c:y val="1.1562921564848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17-453E-82DC-ECCDDDBBBF2F}"/>
                </c:ext>
              </c:extLst>
            </c:dLbl>
            <c:dLbl>
              <c:idx val="10"/>
              <c:layout>
                <c:manualLayout>
                  <c:x val="-4.4738618452805003E-2"/>
                  <c:y val="1.5417228753131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17-453E-82DC-ECCDDDBBBF2F}"/>
                </c:ext>
              </c:extLst>
            </c:dLbl>
            <c:dLbl>
              <c:idx val="11"/>
              <c:layout>
                <c:manualLayout>
                  <c:x val="-2.3094694067656459E-2"/>
                  <c:y val="-2.3125843129697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17-453E-82DC-ECCDDDBBBF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1-р сар</c:v>
                </c:pt>
                <c:pt idx="1">
                  <c:v>2-р сар</c:v>
                </c:pt>
                <c:pt idx="2">
                  <c:v>3-р сар</c:v>
                </c:pt>
                <c:pt idx="3">
                  <c:v>4-р сар</c:v>
                </c:pt>
                <c:pt idx="4">
                  <c:v>5-р сар </c:v>
                </c:pt>
                <c:pt idx="5">
                  <c:v>6-р сар</c:v>
                </c:pt>
                <c:pt idx="6">
                  <c:v>7-р сар</c:v>
                </c:pt>
                <c:pt idx="7">
                  <c:v>8-р сар</c:v>
                </c:pt>
                <c:pt idx="8">
                  <c:v>9-р сар</c:v>
                </c:pt>
                <c:pt idx="9">
                  <c:v>10-р сар</c:v>
                </c:pt>
                <c:pt idx="10">
                  <c:v>11-р сар</c:v>
                </c:pt>
                <c:pt idx="11">
                  <c:v>12-р сар</c:v>
                </c:pt>
              </c:strCache>
            </c:strRef>
          </c:cat>
          <c:val>
            <c:numRef>
              <c:f>Sheet1!$B$2:$B$13</c:f>
              <c:numCache>
                <c:formatCode>General</c:formatCode>
                <c:ptCount val="12"/>
                <c:pt idx="0">
                  <c:v>8.43</c:v>
                </c:pt>
                <c:pt idx="1">
                  <c:v>122.37</c:v>
                </c:pt>
                <c:pt idx="2">
                  <c:v>305.55</c:v>
                </c:pt>
                <c:pt idx="3">
                  <c:v>210.16</c:v>
                </c:pt>
                <c:pt idx="4">
                  <c:v>122.1</c:v>
                </c:pt>
                <c:pt idx="5">
                  <c:v>545.4</c:v>
                </c:pt>
                <c:pt idx="6">
                  <c:v>69.239999999999995</c:v>
                </c:pt>
                <c:pt idx="7">
                  <c:v>480.3</c:v>
                </c:pt>
                <c:pt idx="8">
                  <c:v>1473.24</c:v>
                </c:pt>
                <c:pt idx="9">
                  <c:v>1141.56</c:v>
                </c:pt>
                <c:pt idx="10">
                  <c:v>942.37</c:v>
                </c:pt>
                <c:pt idx="11">
                  <c:v>1924.5</c:v>
                </c:pt>
              </c:numCache>
            </c:numRef>
          </c:val>
          <c:smooth val="0"/>
          <c:extLst>
            <c:ext xmlns:c16="http://schemas.microsoft.com/office/drawing/2014/chart" uri="{C3380CC4-5D6E-409C-BE32-E72D297353CC}">
              <c16:uniqueId val="{00000000-9322-4C3C-80AC-6ECF4A7E2883}"/>
            </c:ext>
          </c:extLst>
        </c:ser>
        <c:dLbls>
          <c:dLblPos val="ctr"/>
          <c:showLegendKey val="0"/>
          <c:showVal val="1"/>
          <c:showCatName val="0"/>
          <c:showSerName val="0"/>
          <c:showPercent val="0"/>
          <c:showBubbleSize val="0"/>
        </c:dLbls>
        <c:smooth val="0"/>
        <c:axId val="620541144"/>
        <c:axId val="620546544"/>
      </c:lineChart>
      <c:catAx>
        <c:axId val="6205411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20546544"/>
        <c:crosses val="autoZero"/>
        <c:auto val="1"/>
        <c:lblAlgn val="ctr"/>
        <c:lblOffset val="100"/>
        <c:noMultiLvlLbl val="0"/>
      </c:catAx>
      <c:valAx>
        <c:axId val="6205465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mn-MN"/>
                  <a:t>Үнийн дүн /тэрбум, төгрөг/</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20541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FA38-4150-BDA3-888016F15E1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FA38-4150-BDA3-888016F15E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Төмрийн баяжмал</c:v>
                </c:pt>
                <c:pt idx="1">
                  <c:v>Төмрийн хүдэр</c:v>
                </c:pt>
              </c:strCache>
            </c:strRef>
          </c:cat>
          <c:val>
            <c:numRef>
              <c:f>Sheet1!$B$2:$B$3</c:f>
              <c:numCache>
                <c:formatCode>General</c:formatCode>
                <c:ptCount val="2"/>
                <c:pt idx="0">
                  <c:v>448700</c:v>
                </c:pt>
                <c:pt idx="1">
                  <c:v>228750</c:v>
                </c:pt>
              </c:numCache>
            </c:numRef>
          </c:val>
          <c:extLst>
            <c:ext xmlns:c16="http://schemas.microsoft.com/office/drawing/2014/chart" uri="{C3380CC4-5D6E-409C-BE32-E72D297353CC}">
              <c16:uniqueId val="{00000000-FA5D-46C7-9BB7-3C3BC8A7EF7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47741769667521"/>
          <c:y val="6.8133244708047838E-2"/>
          <c:w val="0.73684899179887375"/>
          <c:h val="0.6352709888536660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8817-4C37-B649-C040650B82EE}"/>
              </c:ext>
            </c:extLst>
          </c:dPt>
          <c:dPt>
            <c:idx val="2"/>
            <c:invertIfNegative val="0"/>
            <c:bubble3D val="0"/>
            <c:spPr>
              <a:solidFill>
                <a:schemeClr val="accent1">
                  <a:lumMod val="50000"/>
                </a:schemeClr>
              </a:solidFill>
              <a:ln>
                <a:noFill/>
              </a:ln>
              <a:effectLst/>
            </c:spPr>
            <c:extLst>
              <c:ext xmlns:c16="http://schemas.microsoft.com/office/drawing/2014/chart" uri="{C3380CC4-5D6E-409C-BE32-E72D297353CC}">
                <c16:uniqueId val="{00000004-8817-4C37-B649-C040650B82EE}"/>
              </c:ext>
            </c:extLst>
          </c:dPt>
          <c:cat>
            <c:strRef>
              <c:f>Sheet1!$A$2:$A$4</c:f>
              <c:strCache>
                <c:ptCount val="3"/>
                <c:pt idx="0">
                  <c:v>Fe - 65% төмрийн баяжмал</c:v>
                </c:pt>
                <c:pt idx="1">
                  <c:v>Fe - 58% төмрийн баяжмал</c:v>
                </c:pt>
                <c:pt idx="2">
                  <c:v>Fe - 52% төмрийн хүдэр</c:v>
                </c:pt>
              </c:strCache>
            </c:strRef>
          </c:cat>
          <c:val>
            <c:numRef>
              <c:f>Sheet1!$B$2:$B$4</c:f>
              <c:numCache>
                <c:formatCode>General</c:formatCode>
                <c:ptCount val="3"/>
                <c:pt idx="0">
                  <c:v>210000</c:v>
                </c:pt>
                <c:pt idx="1">
                  <c:v>238700</c:v>
                </c:pt>
                <c:pt idx="2">
                  <c:v>228750</c:v>
                </c:pt>
              </c:numCache>
            </c:numRef>
          </c:val>
          <c:extLst>
            <c:ext xmlns:c16="http://schemas.microsoft.com/office/drawing/2014/chart" uri="{C3380CC4-5D6E-409C-BE32-E72D297353CC}">
              <c16:uniqueId val="{00000000-8817-4C37-B649-C040650B82EE}"/>
            </c:ext>
          </c:extLst>
        </c:ser>
        <c:dLbls>
          <c:showLegendKey val="0"/>
          <c:showVal val="0"/>
          <c:showCatName val="0"/>
          <c:showSerName val="0"/>
          <c:showPercent val="0"/>
          <c:showBubbleSize val="0"/>
        </c:dLbls>
        <c:gapWidth val="219"/>
        <c:overlap val="-27"/>
        <c:axId val="721087712"/>
        <c:axId val="721091312"/>
      </c:barChart>
      <c:catAx>
        <c:axId val="72108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1091312"/>
        <c:crosses val="autoZero"/>
        <c:auto val="1"/>
        <c:lblAlgn val="ctr"/>
        <c:lblOffset val="100"/>
        <c:noMultiLvlLbl val="0"/>
      </c:catAx>
      <c:valAx>
        <c:axId val="72109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mn-MN" sz="900" b="1">
                    <a:latin typeface="Times New Roman" panose="02020603050405020304" pitchFamily="18" charset="0"/>
                    <a:cs typeface="Times New Roman" panose="02020603050405020304" pitchFamily="18" charset="0"/>
                  </a:rPr>
                  <a:t>Хэмжээ</a:t>
                </a:r>
                <a:r>
                  <a:rPr lang="mn-MN" sz="900" b="1" baseline="0">
                    <a:latin typeface="Times New Roman" panose="02020603050405020304" pitchFamily="18" charset="0"/>
                    <a:cs typeface="Times New Roman" panose="02020603050405020304" pitchFamily="18" charset="0"/>
                  </a:rPr>
                  <a:t> /тонн/</a:t>
                </a:r>
                <a:endParaRPr lang="en-US" sz="9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087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Column1</c:v>
                </c:pt>
              </c:strCache>
            </c:strRef>
          </c:tx>
          <c:spPr>
            <a:ln w="31750" cap="rnd">
              <a:solidFill>
                <a:schemeClr val="accent1"/>
              </a:solidFill>
              <a:round/>
            </a:ln>
            <a:effectLst/>
          </c:spPr>
          <c:marker>
            <c:symbol val="none"/>
          </c:marker>
          <c:dLbls>
            <c:dLbl>
              <c:idx val="0"/>
              <c:layout>
                <c:manualLayout>
                  <c:x val="-6.8074314240131745E-2"/>
                  <c:y val="-2.1442158439872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C7-4FFF-AD50-4359A8605E7C}"/>
                </c:ext>
              </c:extLst>
            </c:dLbl>
            <c:dLbl>
              <c:idx val="1"/>
              <c:layout>
                <c:manualLayout>
                  <c:x val="-6.0458107293550334E-2"/>
                  <c:y val="-2.1441972661484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C7-4FFF-AD50-4359A8605E7C}"/>
                </c:ext>
              </c:extLst>
            </c:dLbl>
            <c:dLbl>
              <c:idx val="2"/>
              <c:layout>
                <c:manualLayout>
                  <c:x val="-1.9062940661829036E-2"/>
                  <c:y val="-2.7383888841851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C7-4FFF-AD50-4359A8605E7C}"/>
                </c:ext>
              </c:extLst>
            </c:dLbl>
            <c:dLbl>
              <c:idx val="3"/>
              <c:layout>
                <c:manualLayout>
                  <c:x val="-3.031946955997589E-2"/>
                  <c:y val="-3.216295899222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C7-4FFF-AD50-4359A8605E7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9 - р сар </c:v>
                </c:pt>
                <c:pt idx="1">
                  <c:v>10 - р сар </c:v>
                </c:pt>
                <c:pt idx="2">
                  <c:v>11 - р сар</c:v>
                </c:pt>
                <c:pt idx="3">
                  <c:v>12 - р сар</c:v>
                </c:pt>
              </c:strCache>
            </c:strRef>
          </c:cat>
          <c:val>
            <c:numRef>
              <c:f>Sheet1!$B$2:$B$5</c:f>
              <c:numCache>
                <c:formatCode>General</c:formatCode>
                <c:ptCount val="4"/>
                <c:pt idx="0">
                  <c:v>33.590000000000003</c:v>
                </c:pt>
                <c:pt idx="1">
                  <c:v>77.010000000000005</c:v>
                </c:pt>
                <c:pt idx="2">
                  <c:v>50.27</c:v>
                </c:pt>
                <c:pt idx="3">
                  <c:v>35.33</c:v>
                </c:pt>
              </c:numCache>
            </c:numRef>
          </c:val>
          <c:smooth val="0"/>
          <c:extLst>
            <c:ext xmlns:c16="http://schemas.microsoft.com/office/drawing/2014/chart" uri="{C3380CC4-5D6E-409C-BE32-E72D297353CC}">
              <c16:uniqueId val="{00000000-45C7-4FFF-AD50-4359A8605E7C}"/>
            </c:ext>
          </c:extLst>
        </c:ser>
        <c:dLbls>
          <c:dLblPos val="ctr"/>
          <c:showLegendKey val="0"/>
          <c:showVal val="1"/>
          <c:showCatName val="0"/>
          <c:showSerName val="0"/>
          <c:showPercent val="0"/>
          <c:showBubbleSize val="0"/>
        </c:dLbls>
        <c:smooth val="0"/>
        <c:axId val="597669488"/>
        <c:axId val="597675968"/>
      </c:lineChart>
      <c:catAx>
        <c:axId val="59766948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597675968"/>
        <c:crosses val="autoZero"/>
        <c:auto val="1"/>
        <c:lblAlgn val="ctr"/>
        <c:lblOffset val="100"/>
        <c:noMultiLvlLbl val="0"/>
      </c:catAx>
      <c:valAx>
        <c:axId val="5976759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mn-MN" b="1">
                    <a:latin typeface="Times New Roman" panose="02020603050405020304" pitchFamily="18" charset="0"/>
                    <a:cs typeface="Times New Roman" panose="02020603050405020304" pitchFamily="18" charset="0"/>
                  </a:rPr>
                  <a:t>Үнийн</a:t>
                </a:r>
                <a:r>
                  <a:rPr lang="mn-MN" b="1" baseline="0">
                    <a:latin typeface="Times New Roman" panose="02020603050405020304" pitchFamily="18" charset="0"/>
                    <a:cs typeface="Times New Roman" panose="02020603050405020304" pitchFamily="18" charset="0"/>
                  </a:rPr>
                  <a:t> дүн /тэрбум, төгрөг/</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97669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CEBA-A58C-4F80-B060-A6F2A5CA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6740</Characters>
  <Application>Microsoft Office Word</Application>
  <DocSecurity>0</DocSecurity>
  <Lines>146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Ariunaa</dc:creator>
  <cp:keywords/>
  <dc:description/>
  <cp:lastModifiedBy>Ariunsanaa</cp:lastModifiedBy>
  <cp:revision>2</cp:revision>
  <dcterms:created xsi:type="dcterms:W3CDTF">2024-02-16T02:21:00Z</dcterms:created>
  <dcterms:modified xsi:type="dcterms:W3CDTF">2024-02-16T02:21:00Z</dcterms:modified>
</cp:coreProperties>
</file>